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8359C" w:rsidRDefault="0048359C">
      <w:pPr>
        <w:keepNext/>
        <w:jc w:val="both"/>
        <w:rPr>
          <w:sz w:val="24"/>
          <w:szCs w:val="24"/>
        </w:rPr>
      </w:pPr>
      <w:bookmarkStart w:id="0" w:name="_heading=h.iopbu02z678t" w:colFirst="0" w:colLast="0"/>
      <w:bookmarkEnd w:id="0"/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center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33"/>
          <w:szCs w:val="33"/>
        </w:rPr>
        <w:t xml:space="preserve">        Договор о задатке № ________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right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г. Казань                                                                                                                       «____»____________20__г                                                                                                                            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firstLine="142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     ООО «Электронная торговая площадка», именуемое в дальнейшем «Оператор» в лице директора </w:t>
      </w:r>
      <w:proofErr w:type="spellStart"/>
      <w:r>
        <w:rPr>
          <w:color w:val="000000"/>
          <w:sz w:val="21"/>
          <w:szCs w:val="21"/>
        </w:rPr>
        <w:t>Думпе</w:t>
      </w:r>
      <w:proofErr w:type="spellEnd"/>
      <w:r>
        <w:rPr>
          <w:color w:val="000000"/>
          <w:sz w:val="21"/>
          <w:szCs w:val="21"/>
        </w:rPr>
        <w:t xml:space="preserve"> Марины Викторовны, действующего на основании Устава, с одной стороны, и претендент на участие в электронных торгах_________________________________</w:t>
      </w:r>
      <w:proofErr w:type="gramStart"/>
      <w:r>
        <w:rPr>
          <w:color w:val="000000"/>
          <w:sz w:val="21"/>
          <w:szCs w:val="21"/>
        </w:rPr>
        <w:t>_,  в</w:t>
      </w:r>
      <w:proofErr w:type="gramEnd"/>
      <w:r>
        <w:rPr>
          <w:color w:val="000000"/>
          <w:sz w:val="21"/>
          <w:szCs w:val="21"/>
        </w:rPr>
        <w:t xml:space="preserve"> лице____________________________, действующего(-ей) на основании ______________________________________________ , именуемое (-</w:t>
      </w:r>
      <w:proofErr w:type="spellStart"/>
      <w:r>
        <w:rPr>
          <w:color w:val="000000"/>
          <w:sz w:val="21"/>
          <w:szCs w:val="21"/>
        </w:rPr>
        <w:t>ый</w:t>
      </w:r>
      <w:proofErr w:type="spellEnd"/>
      <w:r>
        <w:rPr>
          <w:color w:val="000000"/>
          <w:sz w:val="21"/>
          <w:szCs w:val="21"/>
        </w:rPr>
        <w:t>) в дальнейшем «Заявитель», с другой стороны, заключили настоящий Договор о задатке (далее «Договор») о нижеследующем: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1. Предмет Договора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1.1. Предметом   Договора   является   внесение   Заявителем   задатка   (далее   -   Задаток)   для   участия   в   электронных      торгах: код торгов_________________ по  продаже лота № ______________ (в дальнейшем именуемое «имущество»), проводимых на электронной площадке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 по адресу https://torgi.arbbitlot.ru в сети Интернет (далее по тексту – ЭТП), в соответствии с Регламентом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и Приказом Министерства экономического развития Российской Федерации от  23 июля 2015 г. №495. Размер задатка указан в сообщении о торгах, опубликованном в официальном издании.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1.2. Условия настоящего договора определены Оператором в стандартной форме, размещаемой на сайте https://torgi.arbbitlot.ru в сети Интернет, адресованы неопределенному кругу лиц и могут быть приняты Заявителем не иначе, как путем присоединения к настоящему договору в целом.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1.3. Настоящий договор заключается Сторонами в соответствии со статьей 428 Гражданского кодекса Российской Федерации посредством принятия Заявителем условий настоящего договора и его подписания с использованием электронной подписи.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1.4. Заявитель не вправе изменять условия настоящего договора.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2. Порядок и сроки расчетов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2.1. Заявитель должен перечислить задаток на расчетный счет оператора ЭТП в следующем порядке: Задаток вносится в обеспечение исполнения обязательств Заявителя по заключению договора купли-продажи имущества, его оплаты и в счет причитающихся с Заявителя платежей по договору купли-продажи в случае признания Заявителя победителем торгов.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2.2. Заявитель обязуется перечислить Задаток в следующий срок:</w:t>
      </w:r>
    </w:p>
    <w:p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аукционе или конкурсе - в срок установленный в соответствии с сообщением о торгах,</w:t>
      </w:r>
    </w:p>
    <w:p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торгах, проводимых посредством публичного предложения - не позднее последнего дня периода действия цены (определенного периода проведения торгов), в котором подана заявка на участие в торгах.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2.3. Обязанность Заявителя по перечислению Задатка считается исполненной в момент зачисления денежных средств на расчетный счет оператора ЭТП по следующим реквизитам: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Номер счета </w:t>
      </w:r>
      <w:bookmarkStart w:id="1" w:name="_GoBack"/>
      <w:r>
        <w:rPr>
          <w:sz w:val="21"/>
          <w:szCs w:val="21"/>
        </w:rPr>
        <w:t>40702810429070013813</w:t>
      </w:r>
      <w:bookmarkEnd w:id="1"/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ИНН Получателя 1655269981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Банк ФИЛИАЛ "НИЖЕГОРОДСКИЙ" АО "АЛЬФА-БАНК"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БИК 042202824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sz w:val="21"/>
          <w:szCs w:val="21"/>
        </w:rPr>
        <w:t>Корр. счет 30101810200000000824</w:t>
      </w:r>
      <w:r>
        <w:rPr>
          <w:color w:val="000000"/>
          <w:sz w:val="21"/>
          <w:szCs w:val="21"/>
        </w:rPr>
        <w:t>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2.4. При перечислении задатка в назначении платежа необходимо указать: «Внесение задатка за участие в торгах №___ (код (номер) торгов), номер лота и наименование должника».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2.5. Сумма задатка возвращается Оператором Заявителю, не являющемуся победителем торгов, при наличии у Оператора банковских реквизитов, необходимых для возврата денежных средств, в течение 5 рабочих дней со дня подписания протокола о результатах торгов в случаях:</w:t>
      </w:r>
    </w:p>
    <w:p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отзыва заявки на участие в торгах до окончания срока приема заявок;</w:t>
      </w:r>
    </w:p>
    <w:p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принятия решения Организатором торгов об отказе в допуске Заявителя к участию в торгах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Оператор возвращает задаток проигравшему участнику торгов только на основании заявления Организатора торгов (по форме Приложения № 2 к соглашению о предоставлении счета для перечисления задатков) после подписания протокола о результатах проведения торгов. Срок направления Организатором торгов заявления на возврат задатка- не позднее следующего рабочего дня после подписания протокола о результатах проведения торгов, порядок направления- на электронную почту Оператора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 xml:space="preserve">. Оператор не отвечает за нарушение установленных настоящим договором сроков возврата </w:t>
      </w:r>
      <w:r>
        <w:rPr>
          <w:color w:val="000000"/>
          <w:sz w:val="21"/>
          <w:szCs w:val="21"/>
        </w:rPr>
        <w:lastRenderedPageBreak/>
        <w:t>задатка, в случае несвоевременного предоставления Организатором заявления на возврат задатков на электронный адрес Оператора.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2.6. Сумма Задатка не возвращается Заявителю в следующих случаях:</w:t>
      </w:r>
    </w:p>
    <w:p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победы Заявителя на торгах и дальнейшего не заключения им договора купли-продажи с арбитражным управляющим в течение срока, установленного Федеральным законом №127-ФЗ от 26.10.2002 г. «О несостоятельности (банкротстве)»;</w:t>
      </w:r>
    </w:p>
    <w:p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не перечисления денежных средств в оплату лота в установленные договором купли-продажи сроки;</w:t>
      </w:r>
    </w:p>
    <w:p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заключения договора купли-продажи, но не перечисления денежных средств в оплату лота в установленные договором купли-продажи сроки.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2.7.В случае если в ходе проведения торгов (на любом этапе торгов) такие торги будут приостановлены решением уполномоченных государственных органов (ФАС, суд), никакие операции с суммами, заблокированными в качестве задатков, в период приостановки таких торгов не осуществляются.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2.8. В случае не поступления суммы задатка в полном размере и/или в установленный срок, а также в случае, если Заявитель, при перечислении задатка, не указал сведения перечисленные, в п.2.4. настоящего Договора, обязательства Заявителя по внесению задатка считаются невыполненными. В этом случае Организатор торгов вправе не допустить Заявителя к участию в торгах.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2.9. Момент зачисления денежных средств на расчетный счет Оператора, подтверждается банковской выпиской с этого расчетного счета. Риски несвоевременного исполнения банками платежных документов и зачисления денежных средств несет Заявитель.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3. Прочие условия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3.1. В случае победы Заявителя на торгах Задаток Заявителю не возвращается, а засчитывается в счет исполнения обязательства победившего на торгах Заявителя по уплате итоговой цены лота, реализованного на торгах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3.2. Подписанием настоящего договора Заявитель подтверждает факт того, что он ознакомлен и согласен с условиями, сроками и порядком проведения торгов, сроками и порядком приема заявок, задатков, а также порядком подведения итогов торгов, указанными на сайте https://torgi.arbbitlot.ru и в сообщении о торгах опубликованном в соответствии с требованиями Федерального закона от 26.10.2002г. № 127-ФЗ "О несостоятельности (банкротстве)".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3.3. Заявитель обязан незамедлительно информировать Организатора торгов об изменении своих банковских реквизитов. Оператор не отвечает за нарушение установленных настоящим договором сроков возврата задатка в случае, если Заявитель своевременно не информировал Организатора торгов об изменении своих банковских реквизитов, а также если Заявитель не полностью заполнил сведения о себе или указал недостоверные сведения в п. 3.9. договора, а Организатор торгов своевременно не предоставил заявление на возврат задатков по форме Приложения № 2 на электронный адрес Оператора: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3.4. Заявитель дает согласие на обработку Оператором своих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 Федеральном законе от 27.07.2006  № 152-ФЗ, а также на передачу такой информации третьим лицам, в случаях,  не противоречащих с действующим законодательством РФ. Настоящее согласие действует бессрочно. Заявитель подтверждает, что ознакомлен с положениями Федерального закона от 27.07.2006г. №152-ФЗ «О персональных данных», права и обязанности в области защиты персональных данных ему известны.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3.5. По всем вопросам, не указанным в Договоре, стороны руководствуются законодательством Российской Федерации.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3.6. Споры, связанные с неисполнением или ненадлежащим исполнением условий настоящего договора, Стороны будут стремиться разрешать на взаимоприемлемой основе в порядке досудебного разбирательства: путем переговоров, обмена письмами и т.д. Разногласия, по которым Стороны не достигнут соглашения путем переговоров, подлежат разрешению в Арбитражном суде Республики Татарстан. Настоящий Договор составлен в электронной форме, подписан электронной подписью, и размещен в открытом доступе на сайте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(https://torgi.arbbitlot.ru).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3.7. Настоящий договор может быть заключен в письменной форме как путём составления единого документа, подписанного сторонами, так и путём обмена документами посредством почтовой связи или электронной почты (e-</w:t>
      </w:r>
      <w:proofErr w:type="spellStart"/>
      <w:r>
        <w:rPr>
          <w:color w:val="000000"/>
          <w:sz w:val="21"/>
          <w:szCs w:val="21"/>
        </w:rPr>
        <w:t>mail</w:t>
      </w:r>
      <w:proofErr w:type="spellEnd"/>
      <w:r>
        <w:rPr>
          <w:color w:val="000000"/>
          <w:sz w:val="21"/>
          <w:szCs w:val="21"/>
        </w:rPr>
        <w:t>). При этом передаваемые документы должны быть подписаны сторонами или их уполномоченными представителями и скреплены печатью, а используемый способ связи должен позволять достоверно установить, что документ исходит от стороны по договору.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3.8. При соблюдении указанных условий передаваемые по электронной почте графические файлы, содержащие отсканированные страницы настоящего договора, имеют юридическую силу оригинала и считаются действительными до момента обмена сторонами оригиналами договора.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3.9. Все изменения и дополнения к договору являются действительными, если они совершены в письменной форме путем подписания уполномоченными представителями обеих Сторон.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f4"/>
        <w:tblW w:w="101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704"/>
        <w:gridCol w:w="4410"/>
      </w:tblGrid>
      <w:tr w:rsidR="0048359C" w:rsidTr="00732DDB">
        <w:trPr>
          <w:trHeight w:val="6805"/>
        </w:trPr>
        <w:tc>
          <w:tcPr>
            <w:tcW w:w="5704" w:type="dxa"/>
          </w:tcPr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Заявитель: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___________________________________________________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00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(наименование юридического лица /ФИО) Юридический адрес/Адрес регистрации гражданина: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99"/>
                <w:tab w:val="left" w:pos="4830"/>
              </w:tabs>
              <w:spacing w:before="9"/>
              <w:ind w:left="200" w:right="451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Почтовый адрес: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ОГРН/ОГРНИП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688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(для юридического лица и ИП)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84"/>
                <w:tab w:val="left" w:pos="3226"/>
                <w:tab w:val="left" w:pos="4727"/>
              </w:tabs>
              <w:spacing w:before="1"/>
              <w:ind w:left="200" w:right="514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Паспортные данные: серия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№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Выдан: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Дата выдачи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код </w:t>
            </w:r>
            <w:proofErr w:type="spellStart"/>
            <w:r>
              <w:rPr>
                <w:color w:val="000000"/>
                <w:sz w:val="18"/>
                <w:szCs w:val="18"/>
              </w:rPr>
              <w:t>подр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Реквизиты для возврата задатка: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8"/>
                <w:tab w:val="left" w:pos="4751"/>
              </w:tabs>
              <w:ind w:left="200" w:right="528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Получатель: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 </w:t>
            </w:r>
            <w:proofErr w:type="gramStart"/>
            <w:r>
              <w:rPr>
                <w:color w:val="000000"/>
                <w:sz w:val="18"/>
                <w:szCs w:val="18"/>
              </w:rPr>
              <w:t xml:space="preserve">получателя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proofErr w:type="gramEnd"/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р/с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к/с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БИК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9"/>
              </w:tabs>
              <w:spacing w:before="100" w:after="100" w:line="218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Назначение платежа: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Тел.: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Эл. почта: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5"/>
                <w:tab w:val="left" w:pos="2589"/>
                <w:tab w:val="left" w:pos="4470"/>
              </w:tabs>
              <w:ind w:left="975" w:right="745" w:hanging="7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 подпись</w:t>
            </w:r>
            <w:r>
              <w:rPr>
                <w:color w:val="000000"/>
                <w:sz w:val="18"/>
                <w:szCs w:val="18"/>
              </w:rPr>
              <w:tab/>
            </w:r>
            <w:r>
              <w:rPr>
                <w:color w:val="000000"/>
                <w:sz w:val="18"/>
                <w:szCs w:val="18"/>
              </w:rPr>
              <w:tab/>
              <w:t>расшифровка подписи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8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м.п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4410" w:type="dxa"/>
          </w:tcPr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493" w:right="305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Оператор: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ООО «Электронная торговая площадка», ИНН  1655269981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ОГРН 1131690035124,  КПП 165501001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Номер счета 40702810429070013813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ИНН Получателя 1655269981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Банк ФИЛИАЛ "НИЖЕГОРОДСКИЙ" АО "АЛЬФА-БАНК"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БИК 042202824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Корр. счет 30101810200000000824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333333"/>
                <w:sz w:val="17"/>
                <w:szCs w:val="17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Директор____________</w:t>
            </w:r>
            <w:proofErr w:type="spellStart"/>
            <w:r>
              <w:rPr>
                <w:color w:val="333333"/>
                <w:sz w:val="21"/>
                <w:szCs w:val="21"/>
              </w:rPr>
              <w:t>М.В.Думпе</w:t>
            </w:r>
            <w:proofErr w:type="spellEnd"/>
          </w:p>
          <w:p w:rsidR="0048359C" w:rsidRDefault="00483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87"/>
              </w:tabs>
              <w:ind w:left="493" w:right="1168"/>
              <w:rPr>
                <w:rFonts w:ascii="Verdana" w:eastAsia="Verdana" w:hAnsi="Verdana" w:cs="Verdana"/>
                <w:color w:val="333333"/>
                <w:sz w:val="18"/>
                <w:szCs w:val="18"/>
              </w:rPr>
            </w:pPr>
          </w:p>
        </w:tc>
      </w:tr>
    </w:tbl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:rsidR="0048359C" w:rsidRDefault="0048359C">
      <w:pPr>
        <w:keepNext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48359C" w:rsidRDefault="0048359C">
      <w:pPr>
        <w:keepNext/>
        <w:jc w:val="both"/>
        <w:rPr>
          <w:sz w:val="24"/>
          <w:szCs w:val="24"/>
        </w:rPr>
      </w:pPr>
    </w:p>
    <w:p w:rsidR="00732DDB" w:rsidRDefault="00732DDB">
      <w:pPr>
        <w:keepNext/>
        <w:jc w:val="both"/>
        <w:rPr>
          <w:sz w:val="24"/>
          <w:szCs w:val="24"/>
        </w:rPr>
      </w:pPr>
    </w:p>
    <w:sectPr w:rsidR="00732DDB">
      <w:headerReference w:type="default" r:id="rId8"/>
      <w:pgSz w:w="11906" w:h="16838"/>
      <w:pgMar w:top="776" w:right="1134" w:bottom="1134" w:left="1134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60F7" w:rsidRDefault="00D960F7">
      <w:r>
        <w:separator/>
      </w:r>
    </w:p>
  </w:endnote>
  <w:endnote w:type="continuationSeparator" w:id="0">
    <w:p w:rsidR="00D960F7" w:rsidRDefault="00D96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57618FE3-C4EF-42F4-817B-47114049CAF8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2" w:fontKey="{2D5122B9-E64B-4C32-A5B8-3C4380F6E1C3}"/>
    <w:embedItalic r:id="rId3" w:fontKey="{85DBC5D9-6E66-492D-8677-07C3CF8C149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419ACECB-FB8D-48F2-BF13-5CABCEAC9D4F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5" w:fontKey="{3A2CF847-E0DD-4F6B-9E3A-62C2747A083C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C527D1E8-B518-4BE4-9C5A-8703039F2725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7" w:fontKey="{40634E30-6104-41A6-8B85-D9822EDEF1A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46CB6743-1E9D-478F-AC3E-30016EF11E4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60F7" w:rsidRDefault="00D960F7">
      <w:r>
        <w:separator/>
      </w:r>
    </w:p>
  </w:footnote>
  <w:footnote w:type="continuationSeparator" w:id="0">
    <w:p w:rsidR="00D960F7" w:rsidRDefault="00D960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59C" w:rsidRDefault="00581EA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b/>
        <w:bCs/>
        <w:color w:val="000000"/>
      </w:rPr>
    </w:pPr>
    <w:r>
      <w:rPr>
        <w:b/>
        <w:bCs/>
        <w:color w:val="000000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1C2C88"/>
    <w:multiLevelType w:val="multilevel"/>
    <w:tmpl w:val="1CE251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7042153"/>
    <w:multiLevelType w:val="multilevel"/>
    <w:tmpl w:val="354CFA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3A03F05"/>
    <w:multiLevelType w:val="multilevel"/>
    <w:tmpl w:val="BC5E00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59C"/>
    <w:rsid w:val="0048359C"/>
    <w:rsid w:val="00581EAF"/>
    <w:rsid w:val="00732DDB"/>
    <w:rsid w:val="00802E6E"/>
    <w:rsid w:val="00A15F74"/>
    <w:rsid w:val="00BF777D"/>
    <w:rsid w:val="00C06C1B"/>
    <w:rsid w:val="00D70A93"/>
    <w:rsid w:val="00D960F7"/>
    <w:rsid w:val="00EC0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101ECA-B160-48C3-9790-EDF912182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qFormat/>
    <w:rPr>
      <w:rFonts w:ascii="Symbol" w:hAnsi="Symbol" w:cs="Symbol"/>
      <w:sz w:val="20"/>
    </w:rPr>
  </w:style>
  <w:style w:type="character" w:customStyle="1" w:styleId="WW8Num1z1">
    <w:name w:val="WW8Num1z1"/>
    <w:qFormat/>
    <w:rPr>
      <w:rFonts w:ascii="Courier New" w:hAnsi="Courier New" w:cs="Courier New"/>
      <w:sz w:val="20"/>
    </w:rPr>
  </w:style>
  <w:style w:type="character" w:customStyle="1" w:styleId="WW8Num1z2">
    <w:name w:val="WW8Num1z2"/>
    <w:qFormat/>
    <w:rPr>
      <w:rFonts w:ascii="Wingdings" w:hAnsi="Wingdings" w:cs="Wingdings"/>
      <w:sz w:val="20"/>
    </w:rPr>
  </w:style>
  <w:style w:type="character" w:customStyle="1" w:styleId="WW8Num2z0">
    <w:name w:val="WW8Num2z0"/>
    <w:qFormat/>
    <w:rPr>
      <w:rFonts w:ascii="Symbol" w:hAnsi="Symbol" w:cs="Symbol"/>
      <w:sz w:val="20"/>
    </w:rPr>
  </w:style>
  <w:style w:type="character" w:customStyle="1" w:styleId="WW8Num2z1">
    <w:name w:val="WW8Num2z1"/>
    <w:qFormat/>
    <w:rPr>
      <w:rFonts w:ascii="Courier New" w:hAnsi="Courier New" w:cs="Courier New"/>
      <w:sz w:val="20"/>
    </w:rPr>
  </w:style>
  <w:style w:type="character" w:customStyle="1" w:styleId="WW8Num2z2">
    <w:name w:val="WW8Num2z2"/>
    <w:qFormat/>
    <w:rPr>
      <w:rFonts w:ascii="Wingdings" w:hAnsi="Wingdings" w:cs="Wingdings"/>
      <w:sz w:val="20"/>
    </w:rPr>
  </w:style>
  <w:style w:type="character" w:customStyle="1" w:styleId="WW8Num3z0">
    <w:name w:val="WW8Num3z0"/>
    <w:qFormat/>
    <w:rPr>
      <w:rFonts w:ascii="Symbol" w:hAnsi="Symbol" w:cs="Symbol"/>
      <w:sz w:val="20"/>
    </w:rPr>
  </w:style>
  <w:style w:type="character" w:customStyle="1" w:styleId="WW8Num3z1">
    <w:name w:val="WW8Num3z1"/>
    <w:qFormat/>
    <w:rPr>
      <w:rFonts w:ascii="Courier New" w:hAnsi="Courier New" w:cs="Courier New"/>
      <w:sz w:val="20"/>
    </w:rPr>
  </w:style>
  <w:style w:type="character" w:customStyle="1" w:styleId="WW8Num3z2">
    <w:name w:val="WW8Num3z2"/>
    <w:qFormat/>
    <w:rPr>
      <w:rFonts w:ascii="Wingdings" w:hAnsi="Wingdings" w:cs="Wingdings"/>
      <w:sz w:val="20"/>
    </w:rPr>
  </w:style>
  <w:style w:type="character" w:customStyle="1" w:styleId="10">
    <w:name w:val="Основной шрифт абзаца1"/>
    <w:qFormat/>
  </w:style>
  <w:style w:type="character" w:customStyle="1" w:styleId="text">
    <w:name w:val="text"/>
    <w:basedOn w:val="10"/>
    <w:qFormat/>
  </w:style>
  <w:style w:type="character" w:customStyle="1" w:styleId="a4">
    <w:name w:val="Верхний колонтитул Знак"/>
    <w:basedOn w:val="10"/>
    <w:qFormat/>
  </w:style>
  <w:style w:type="character" w:customStyle="1" w:styleId="a5">
    <w:name w:val="Нижний колонтитул Знак"/>
    <w:basedOn w:val="10"/>
    <w:qFormat/>
  </w:style>
  <w:style w:type="character" w:styleId="a6">
    <w:name w:val="Hyperlink"/>
    <w:rPr>
      <w:color w:val="0563C1"/>
      <w:u w:val="single"/>
    </w:rPr>
  </w:style>
  <w:style w:type="character" w:customStyle="1" w:styleId="spelle">
    <w:name w:val="spelle"/>
    <w:qFormat/>
  </w:style>
  <w:style w:type="character" w:styleId="a7">
    <w:name w:val="Strong"/>
    <w:qFormat/>
    <w:rPr>
      <w:b/>
      <w:bCs/>
    </w:rPr>
  </w:style>
  <w:style w:type="character" w:customStyle="1" w:styleId="grame">
    <w:name w:val="grame"/>
    <w:qFormat/>
  </w:style>
  <w:style w:type="paragraph" w:customStyle="1" w:styleId="Heading">
    <w:name w:val="Heading"/>
    <w:next w:val="a8"/>
    <w:qFormat/>
    <w:pPr>
      <w:jc w:val="center"/>
    </w:pPr>
    <w:rPr>
      <w:sz w:val="24"/>
    </w:rPr>
  </w:style>
  <w:style w:type="paragraph" w:styleId="a8">
    <w:name w:val="Body Text"/>
    <w:pPr>
      <w:spacing w:after="140" w:line="288" w:lineRule="auto"/>
    </w:pPr>
  </w:style>
  <w:style w:type="paragraph" w:styleId="a9">
    <w:name w:val="List"/>
    <w:basedOn w:val="a8"/>
    <w:rPr>
      <w:rFonts w:cs="Lucida Sans"/>
    </w:rPr>
  </w:style>
  <w:style w:type="paragraph" w:styleId="a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qFormat/>
    <w:pPr>
      <w:suppressLineNumbers/>
    </w:pPr>
  </w:style>
  <w:style w:type="paragraph" w:customStyle="1" w:styleId="11">
    <w:name w:val="Указатель1"/>
    <w:qFormat/>
    <w:pPr>
      <w:suppressLineNumbers/>
    </w:pPr>
    <w:rPr>
      <w:rFonts w:cs="Lucida Sans"/>
    </w:rPr>
  </w:style>
  <w:style w:type="paragraph" w:customStyle="1" w:styleId="ConsNormal">
    <w:name w:val="ConsNormal"/>
    <w:qFormat/>
    <w:pPr>
      <w:widowControl w:val="0"/>
      <w:ind w:firstLine="720"/>
    </w:pPr>
    <w:rPr>
      <w:rFonts w:ascii="Arial" w:hAnsi="Arial" w:cs="Arial"/>
      <w:lang w:val="ru-RU"/>
    </w:rPr>
  </w:style>
  <w:style w:type="paragraph" w:customStyle="1" w:styleId="ConsNonformat">
    <w:name w:val="ConsNonformat"/>
    <w:qFormat/>
    <w:pPr>
      <w:widowControl w:val="0"/>
    </w:pPr>
    <w:rPr>
      <w:rFonts w:ascii="Courier New" w:hAnsi="Courier New" w:cs="Courier New"/>
      <w:lang w:val="ru-RU"/>
    </w:rPr>
  </w:style>
  <w:style w:type="paragraph" w:customStyle="1" w:styleId="ConsTitle">
    <w:name w:val="ConsTitle"/>
    <w:qFormat/>
    <w:pPr>
      <w:widowControl w:val="0"/>
    </w:pPr>
    <w:rPr>
      <w:rFonts w:ascii="Arial" w:hAnsi="Arial" w:cs="Arial"/>
      <w:b/>
      <w:sz w:val="16"/>
      <w:lang w:val="ru-RU"/>
    </w:rPr>
  </w:style>
  <w:style w:type="paragraph" w:styleId="ab">
    <w:name w:val="Body Text Indent"/>
    <w:pPr>
      <w:ind w:firstLine="708"/>
      <w:jc w:val="both"/>
    </w:pPr>
    <w:rPr>
      <w:sz w:val="24"/>
      <w:szCs w:val="24"/>
    </w:rPr>
  </w:style>
  <w:style w:type="paragraph" w:styleId="ac">
    <w:name w:val="Balloon Text"/>
    <w:qFormat/>
    <w:rPr>
      <w:rFonts w:ascii="Tahoma" w:hAnsi="Tahoma" w:cs="Tahoma"/>
      <w:sz w:val="16"/>
      <w:szCs w:val="16"/>
    </w:rPr>
  </w:style>
  <w:style w:type="paragraph" w:customStyle="1" w:styleId="ad">
    <w:name w:val="Таблицы (моноширинный)"/>
    <w:qFormat/>
    <w:pPr>
      <w:widowControl w:val="0"/>
      <w:autoSpaceDE w:val="0"/>
      <w:jc w:val="both"/>
    </w:pPr>
    <w:rPr>
      <w:rFonts w:ascii="Courier New" w:hAnsi="Courier New" w:cs="Courier New"/>
    </w:rPr>
  </w:style>
  <w:style w:type="paragraph" w:customStyle="1" w:styleId="zagolovok6">
    <w:name w:val="zagolovok6"/>
    <w:qFormat/>
    <w:rPr>
      <w:lang w:val="ru-RU"/>
    </w:rPr>
  </w:style>
  <w:style w:type="paragraph" w:customStyle="1" w:styleId="1-21">
    <w:name w:val="Средняя сетка 1 - Акцент 21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HeaderandFooter">
    <w:name w:val="Header and Footer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pPr>
      <w:tabs>
        <w:tab w:val="center" w:pos="4677"/>
        <w:tab w:val="right" w:pos="9355"/>
      </w:tabs>
    </w:pPr>
  </w:style>
  <w:style w:type="paragraph" w:styleId="af">
    <w:name w:val="footer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qFormat/>
    <w:pPr>
      <w:autoSpaceDE w:val="0"/>
    </w:pPr>
    <w:rPr>
      <w:rFonts w:ascii="Arial" w:hAnsi="Arial" w:cs="Arial"/>
      <w:lang w:val="ru-RU"/>
    </w:rPr>
  </w:style>
  <w:style w:type="paragraph" w:customStyle="1" w:styleId="ConsPlusTitle">
    <w:name w:val="ConsPlusTitle"/>
    <w:qFormat/>
    <w:pPr>
      <w:autoSpaceDE w:val="0"/>
    </w:pPr>
    <w:rPr>
      <w:rFonts w:ascii="Arial" w:hAnsi="Arial" w:cs="Arial"/>
      <w:b/>
      <w:bCs/>
      <w:lang w:val="ru-RU"/>
    </w:rPr>
  </w:style>
  <w:style w:type="paragraph" w:customStyle="1" w:styleId="af0">
    <w:name w:val="Содержимое таблицы"/>
    <w:qFormat/>
    <w:pPr>
      <w:suppressLineNumbers/>
    </w:pPr>
  </w:style>
  <w:style w:type="paragraph" w:customStyle="1" w:styleId="af1">
    <w:name w:val="Заголовок таблицы"/>
    <w:basedOn w:val="af0"/>
    <w:qFormat/>
    <w:pPr>
      <w:jc w:val="center"/>
    </w:pPr>
    <w:rPr>
      <w:b/>
      <w:bCs/>
    </w:rPr>
  </w:style>
  <w:style w:type="paragraph" w:styleId="af2">
    <w:name w:val="Normal (Web)"/>
    <w:qFormat/>
    <w:pPr>
      <w:spacing w:before="100" w:after="100"/>
    </w:pPr>
    <w:rPr>
      <w:sz w:val="24"/>
      <w:szCs w:val="24"/>
    </w:rPr>
  </w:style>
  <w:style w:type="paragraph" w:customStyle="1" w:styleId="tableparagraph">
    <w:name w:val="tableparagraph"/>
    <w:qFormat/>
    <w:pPr>
      <w:spacing w:before="100" w:after="100"/>
    </w:pPr>
    <w:rPr>
      <w:sz w:val="24"/>
      <w:szCs w:val="24"/>
    </w:rPr>
  </w:style>
  <w:style w:type="paragraph" w:customStyle="1" w:styleId="TableContents">
    <w:name w:val="Table Contents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n9Z/f7Ww1uPiYJoo4Cc4OA6ygw==">CgMxLjAyDmguaW9wYnUwMno2Nzh0OAByITFZcnVpOHNGazZQOVZXRm9YQy03STQ3Sl9KdFl6cmlnag==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1512</Words>
  <Characters>8622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Reanimator 98</dc:creator>
  <cp:lastModifiedBy>user</cp:lastModifiedBy>
  <cp:revision>2</cp:revision>
  <cp:lastPrinted>2026-05-13T03:28:00Z</cp:lastPrinted>
  <dcterms:created xsi:type="dcterms:W3CDTF">2026-05-13T04:35:00Z</dcterms:created>
  <dcterms:modified xsi:type="dcterms:W3CDTF">2026-05-13T04:35:00Z</dcterms:modified>
</cp:coreProperties>
</file>