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ConsTitle"/>
        <w:widowControl/>
        <w:ind w:firstLine="78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4"/>
          <w:szCs w:val="24"/>
        </w:rPr>
        <w:t xml:space="preserve">ДОГОВОР О ЗАДАТКЕ </w:t>
      </w:r>
    </w:p>
    <w:p>
      <w:pPr>
        <w:pStyle w:val="ConsTitle"/>
        <w:widowControl/>
        <w:ind w:firstLine="78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ConsNonformat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4"/>
          <w:szCs w:val="24"/>
        </w:rPr>
        <w:t>город Москва</w:t>
        <w:tab/>
        <w:tab/>
        <w:tab/>
        <w:tab/>
        <w:tab/>
        <w:tab/>
        <w:tab/>
        <w:tab/>
        <w:t>«___» _____________ 2026 г.</w:t>
      </w:r>
    </w:p>
    <w:p>
      <w:pPr>
        <w:pStyle w:val="ConsNonformat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ConsNonformat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bidi w:val="0"/>
        <w:ind w:firstLine="708"/>
        <w:jc w:val="both"/>
        <w:rPr>
          <w:sz w:val="22"/>
          <w:szCs w:val="22"/>
        </w:rPr>
      </w:pPr>
      <w:r>
        <w:rPr>
          <w:b/>
          <w:sz w:val="24"/>
          <w:szCs w:val="24"/>
        </w:rPr>
        <w:t xml:space="preserve">Финансовый управляющий Дертева Георгия Александровича (24.05.1969г.р. ИНН 110601800427, СНИЛС 014-718-267 39, адрес 129323, г. Москва, ул. Сельскохозяйственная, д. 38, к. 2, кв. 386) - Горяева Любовь Владимировна </w:t>
      </w:r>
      <w:r>
        <w:rPr>
          <w:sz w:val="24"/>
          <w:szCs w:val="24"/>
        </w:rPr>
        <w:t xml:space="preserve">(ИНН 100100871413, СНИЛС 028-356-056 54, номер в реестре 9148), действующая на основании решения Арбитражного суда города Москвы от 23.09.2025 г. дело №А40-202839/2025, именуемая в дальнейшем </w:t>
      </w:r>
      <w:r>
        <w:rPr>
          <w:b/>
          <w:sz w:val="24"/>
          <w:szCs w:val="24"/>
        </w:rPr>
        <w:t>«Организатор торгов»</w:t>
      </w:r>
      <w:r>
        <w:rPr>
          <w:sz w:val="24"/>
          <w:szCs w:val="24"/>
        </w:rPr>
        <w:t xml:space="preserve">, с одной стороны, и __________________________________________________, именуемое (ый) в дальнейшем </w:t>
      </w:r>
      <w:r>
        <w:rPr>
          <w:b/>
          <w:sz w:val="24"/>
          <w:szCs w:val="24"/>
        </w:rPr>
        <w:t>«Претендент»</w:t>
      </w:r>
      <w:r>
        <w:rPr>
          <w:sz w:val="24"/>
          <w:szCs w:val="24"/>
        </w:rPr>
        <w:t>, в лице ___________________, действующего на основании _________________, с другой стороны, заключили настоящий договор о нижеследующем:</w:t>
      </w:r>
    </w:p>
    <w:p>
      <w:pPr>
        <w:pStyle w:val="Normal"/>
        <w:bidi w:val="0"/>
        <w:jc w:val="both"/>
        <w:rPr>
          <w:sz w:val="22"/>
          <w:szCs w:val="22"/>
        </w:rPr>
      </w:pPr>
      <w:r>
        <w:rPr>
          <w:sz w:val="24"/>
          <w:szCs w:val="24"/>
        </w:rPr>
      </w:r>
    </w:p>
    <w:p>
      <w:pPr>
        <w:pStyle w:val="ConsNormal"/>
        <w:ind w:hanging="0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4"/>
          <w:szCs w:val="24"/>
        </w:rPr>
        <w:t>1. ПРЕДМЕТ ДОГОВОРА</w:t>
      </w:r>
    </w:p>
    <w:p>
      <w:pPr>
        <w:pStyle w:val="ConsNormal"/>
        <w:ind w:hanging="0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ListParagraph"/>
        <w:numPr>
          <w:ilvl w:val="1"/>
          <w:numId w:val="1"/>
        </w:numPr>
        <w:tabs>
          <w:tab w:val="clear" w:pos="709"/>
          <w:tab w:val="left" w:pos="1134" w:leader="none"/>
        </w:tabs>
        <w:bidi w:val="0"/>
        <w:ind w:firstLine="709" w:start="0"/>
        <w:jc w:val="both"/>
        <w:rPr>
          <w:sz w:val="22"/>
          <w:szCs w:val="22"/>
        </w:rPr>
      </w:pPr>
      <w:r>
        <w:rPr>
          <w:sz w:val="24"/>
          <w:szCs w:val="24"/>
        </w:rPr>
        <w:t xml:space="preserve">В соответствии с условиями настоящего Договора Претендент для участия в торгах по продаже имущества, принадлежащего </w:t>
      </w:r>
      <w:r>
        <w:rPr>
          <w:b/>
          <w:sz w:val="24"/>
          <w:szCs w:val="24"/>
        </w:rPr>
        <w:t xml:space="preserve">Дертеву Георгию Александровичу </w:t>
      </w:r>
      <w:r>
        <w:rPr>
          <w:sz w:val="24"/>
          <w:szCs w:val="24"/>
        </w:rPr>
        <w:t xml:space="preserve">(далее – «Имущество», «Имущество Должника») вносит, а Организатор торгов принимает задаток на участие в торгах по продаже имущества </w:t>
      </w:r>
      <w:r>
        <w:rPr>
          <w:b/>
          <w:sz w:val="24"/>
          <w:szCs w:val="24"/>
        </w:rPr>
        <w:t>Дертева Георгия Александровича</w:t>
      </w:r>
      <w:r>
        <w:rPr>
          <w:sz w:val="24"/>
          <w:szCs w:val="24"/>
        </w:rPr>
        <w:t xml:space="preserve">. </w:t>
      </w:r>
    </w:p>
    <w:p>
      <w:pPr>
        <w:pStyle w:val="ListParagraph"/>
        <w:numPr>
          <w:ilvl w:val="1"/>
          <w:numId w:val="1"/>
        </w:numPr>
        <w:tabs>
          <w:tab w:val="clear" w:pos="709"/>
          <w:tab w:val="left" w:pos="1134" w:leader="none"/>
        </w:tabs>
        <w:bidi w:val="0"/>
        <w:ind w:firstLine="709" w:start="0"/>
        <w:jc w:val="both"/>
        <w:rPr>
          <w:sz w:val="22"/>
          <w:szCs w:val="22"/>
        </w:rPr>
      </w:pPr>
      <w:r>
        <w:rPr>
          <w:sz w:val="24"/>
          <w:szCs w:val="24"/>
        </w:rPr>
        <w:t xml:space="preserve">Размер задатка составляет 15% от цены лота на соответствующем этапе торгов. </w:t>
      </w:r>
    </w:p>
    <w:p>
      <w:pPr>
        <w:pStyle w:val="ConsTitle"/>
        <w:widowControl/>
        <w:jc w:val="center"/>
        <w:rPr>
          <w:rFonts w:ascii="Times New Roman" w:hAnsi="Times New Roman"/>
          <w:b w:val="false"/>
          <w:sz w:val="22"/>
          <w:szCs w:val="22"/>
        </w:rPr>
      </w:pPr>
      <w:r>
        <w:rPr>
          <w:rFonts w:ascii="Times New Roman" w:hAnsi="Times New Roman"/>
          <w:b w:val="false"/>
          <w:sz w:val="24"/>
          <w:szCs w:val="24"/>
        </w:rPr>
      </w:r>
    </w:p>
    <w:p>
      <w:pPr>
        <w:pStyle w:val="ConsTitle"/>
        <w:widowControl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4"/>
          <w:szCs w:val="24"/>
        </w:rPr>
        <w:t>2. ПОРЯДОК ВНЕСЕНИЯ ЗАДАТКА</w:t>
      </w:r>
    </w:p>
    <w:p>
      <w:pPr>
        <w:pStyle w:val="ConsTitle"/>
        <w:widowControl/>
        <w:jc w:val="center"/>
        <w:rPr>
          <w:rFonts w:ascii="Times New Roman" w:hAnsi="Times New Roman"/>
          <w:b w:val="false"/>
          <w:sz w:val="22"/>
          <w:szCs w:val="22"/>
        </w:rPr>
      </w:pPr>
      <w:r>
        <w:rPr>
          <w:rFonts w:ascii="Times New Roman" w:hAnsi="Times New Roman"/>
          <w:b w:val="false"/>
          <w:sz w:val="24"/>
          <w:szCs w:val="24"/>
        </w:rPr>
      </w:r>
    </w:p>
    <w:p>
      <w:pPr>
        <w:pStyle w:val="ConsTitle"/>
        <w:widowControl/>
        <w:ind w:firstLine="720"/>
        <w:jc w:val="both"/>
        <w:rPr>
          <w:rFonts w:ascii="Times New Roman" w:hAnsi="Times New Roman"/>
          <w:b w:val="false"/>
          <w:sz w:val="22"/>
          <w:szCs w:val="22"/>
        </w:rPr>
      </w:pPr>
      <w:r>
        <w:rPr>
          <w:rFonts w:ascii="Times New Roman" w:hAnsi="Times New Roman"/>
          <w:b w:val="false"/>
          <w:sz w:val="24"/>
          <w:szCs w:val="24"/>
        </w:rPr>
        <w:t xml:space="preserve">2.1. Задаток должен быть внесен Претендентом на специальный счет для перечисления задатка Дертева Георгия Александровича,  ИНН 110601800427, Счет: 40817810150220269541, в ФИЛИАЛ "ЦЕНТРАЛЬНЫЙ" ПАО "СОВКОМБАНК" (БЕРДСК), к/с 30101810150040000763, БИК 045004763 не позднее даты окончания срока приема заявок, указанного в информационном сообщении, и считается внесенным с даты поступления всей суммы задатка на указанный счет. </w:t>
      </w:r>
    </w:p>
    <w:p>
      <w:pPr>
        <w:pStyle w:val="ConsTitle"/>
        <w:widowControl/>
        <w:ind w:firstLine="720"/>
        <w:jc w:val="both"/>
        <w:rPr>
          <w:rFonts w:ascii="Times New Roman" w:hAnsi="Times New Roman"/>
          <w:b w:val="false"/>
          <w:sz w:val="22"/>
          <w:szCs w:val="22"/>
        </w:rPr>
      </w:pPr>
      <w:r>
        <w:rPr>
          <w:rFonts w:ascii="Times New Roman" w:hAnsi="Times New Roman"/>
          <w:b w:val="false"/>
          <w:sz w:val="24"/>
          <w:szCs w:val="24"/>
        </w:rPr>
        <w:t>2.2. В назначении платежа должно быть указано: «Задаток за лот №_1_, дата торгов, дело о банкротстве А40-202839/2025».</w:t>
      </w:r>
    </w:p>
    <w:p>
      <w:pPr>
        <w:pStyle w:val="ConsTitle"/>
        <w:widowControl/>
        <w:ind w:firstLine="720"/>
        <w:jc w:val="both"/>
        <w:rPr>
          <w:rFonts w:ascii="Times New Roman" w:hAnsi="Times New Roman"/>
          <w:b w:val="false"/>
          <w:sz w:val="22"/>
          <w:szCs w:val="22"/>
        </w:rPr>
      </w:pPr>
      <w:r>
        <w:rPr>
          <w:rFonts w:ascii="Times New Roman" w:hAnsi="Times New Roman"/>
          <w:b w:val="false"/>
          <w:sz w:val="24"/>
          <w:szCs w:val="24"/>
        </w:rPr>
        <w:t xml:space="preserve">2.3. В случае непоступления всей суммы задатка в порядке и на условиях, предусмотренных настоящим Договором, обязательства Претендента по внесению задатка считаются невыполненными. В этом случае Претендент к участию в торгах не допускается. </w:t>
      </w:r>
    </w:p>
    <w:p>
      <w:pPr>
        <w:pStyle w:val="ConsTitle"/>
        <w:widowControl/>
        <w:ind w:firstLine="720"/>
        <w:jc w:val="both"/>
        <w:rPr>
          <w:rFonts w:ascii="Times New Roman" w:hAnsi="Times New Roman"/>
          <w:b w:val="false"/>
          <w:sz w:val="22"/>
          <w:szCs w:val="22"/>
        </w:rPr>
      </w:pPr>
      <w:r>
        <w:rPr>
          <w:rFonts w:ascii="Times New Roman" w:hAnsi="Times New Roman"/>
          <w:b w:val="false"/>
          <w:sz w:val="24"/>
          <w:szCs w:val="24"/>
        </w:rPr>
        <w:t>2.4. Договор о задатке может быть подписан Претендентом электронной подписью Претендента либо Претендент вправе направить задаток на счет, указанный в п. 1 настоящего Договора без подписания настоящего Договора электронной подписью Претендента (в этом случае перечисление задатка Претендентом в соответствии с сообщением о проведении торгов считается акцептом размещенного на электронной площадке договора о задатке).</w:t>
      </w:r>
    </w:p>
    <w:p>
      <w:pPr>
        <w:pStyle w:val="ConsTitle"/>
        <w:widowControl/>
        <w:ind w:firstLine="720"/>
        <w:jc w:val="both"/>
        <w:rPr>
          <w:rFonts w:ascii="Times New Roman" w:hAnsi="Times New Roman"/>
          <w:b w:val="false"/>
          <w:sz w:val="22"/>
          <w:szCs w:val="22"/>
        </w:rPr>
      </w:pPr>
      <w:r>
        <w:rPr>
          <w:rFonts w:ascii="Times New Roman" w:hAnsi="Times New Roman"/>
          <w:b w:val="false"/>
          <w:sz w:val="24"/>
          <w:szCs w:val="24"/>
        </w:rPr>
      </w:r>
    </w:p>
    <w:p>
      <w:pPr>
        <w:pStyle w:val="ConsTitle"/>
        <w:widowControl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4"/>
          <w:szCs w:val="24"/>
        </w:rPr>
        <w:t>3. ПОРЯДОК ВОЗВРАТА И УДЕРЖАНИЯ ЗАДАТКА</w:t>
      </w:r>
    </w:p>
    <w:p>
      <w:pPr>
        <w:pStyle w:val="ConsTitle"/>
        <w:widowControl/>
        <w:jc w:val="center"/>
        <w:rPr>
          <w:rFonts w:ascii="Times New Roman" w:hAnsi="Times New Roman"/>
          <w:b w:val="false"/>
          <w:sz w:val="22"/>
          <w:szCs w:val="22"/>
        </w:rPr>
      </w:pPr>
      <w:r>
        <w:rPr>
          <w:rFonts w:ascii="Times New Roman" w:hAnsi="Times New Roman"/>
          <w:b w:val="false"/>
          <w:sz w:val="24"/>
          <w:szCs w:val="24"/>
        </w:rPr>
      </w:r>
    </w:p>
    <w:p>
      <w:pPr>
        <w:pStyle w:val="ConsTitle"/>
        <w:widowControl/>
        <w:ind w:firstLine="720"/>
        <w:jc w:val="both"/>
        <w:rPr>
          <w:rFonts w:ascii="Times New Roman" w:hAnsi="Times New Roman"/>
          <w:b w:val="false"/>
          <w:sz w:val="22"/>
          <w:szCs w:val="22"/>
        </w:rPr>
      </w:pPr>
      <w:r>
        <w:rPr>
          <w:rFonts w:ascii="Times New Roman" w:hAnsi="Times New Roman"/>
          <w:b w:val="false"/>
          <w:sz w:val="24"/>
          <w:szCs w:val="24"/>
        </w:rPr>
        <w:t>3.1. В случаях, если Претендент не был признан победителем торгов, задаток возвращается Претенденту в течение пяти рабочих дней со дня подписания протокола о результатах проведения торгов, путем перечисления суммы внесенного задатка на расчетный счет Претендента. В случае если претендент/участник не предоставил реквизиты для возврата задатка, задаток будет возвращен в течение пяти рабочих дней с даты предоставления реквизитов.</w:t>
      </w:r>
    </w:p>
    <w:p>
      <w:pPr>
        <w:pStyle w:val="ConsTitle"/>
        <w:widowControl/>
        <w:ind w:firstLine="720"/>
        <w:jc w:val="both"/>
        <w:rPr>
          <w:rFonts w:ascii="Times New Roman" w:hAnsi="Times New Roman"/>
          <w:b w:val="false"/>
          <w:sz w:val="22"/>
          <w:szCs w:val="22"/>
        </w:rPr>
      </w:pPr>
      <w:r>
        <w:rPr>
          <w:rFonts w:ascii="Times New Roman" w:hAnsi="Times New Roman"/>
          <w:b w:val="false"/>
          <w:sz w:val="24"/>
          <w:szCs w:val="24"/>
        </w:rPr>
        <w:t xml:space="preserve">3.2. Претендент обязан незамедлительно информировать Организатора торгов об изменении своих банковских реквизитов. </w:t>
      </w:r>
    </w:p>
    <w:p>
      <w:pPr>
        <w:pStyle w:val="ConsTitle"/>
        <w:widowControl/>
        <w:ind w:firstLine="720"/>
        <w:jc w:val="both"/>
        <w:rPr>
          <w:rFonts w:ascii="Times New Roman" w:hAnsi="Times New Roman"/>
          <w:b w:val="false"/>
          <w:sz w:val="22"/>
          <w:szCs w:val="22"/>
        </w:rPr>
      </w:pPr>
      <w:r>
        <w:rPr>
          <w:rFonts w:ascii="Times New Roman" w:hAnsi="Times New Roman"/>
          <w:b w:val="false"/>
          <w:sz w:val="24"/>
          <w:szCs w:val="24"/>
        </w:rPr>
        <w:t xml:space="preserve">3.3.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реквизитов. </w:t>
      </w:r>
    </w:p>
    <w:p>
      <w:pPr>
        <w:pStyle w:val="ConsTitle"/>
        <w:widowControl/>
        <w:ind w:firstLine="720"/>
        <w:jc w:val="both"/>
        <w:rPr>
          <w:rFonts w:ascii="Times New Roman" w:hAnsi="Times New Roman"/>
          <w:b w:val="false"/>
          <w:sz w:val="22"/>
          <w:szCs w:val="22"/>
        </w:rPr>
      </w:pPr>
      <w:r>
        <w:rPr>
          <w:rFonts w:ascii="Times New Roman" w:hAnsi="Times New Roman"/>
          <w:b w:val="false"/>
          <w:sz w:val="24"/>
          <w:szCs w:val="24"/>
        </w:rPr>
        <w:t xml:space="preserve">3.4. Внесенный Претендентом задаток засчитывается в счет оплаты приобретаемого на торгах имущества Должника по лоту при заключении в установленном порядке договора купли-продажи имущества Должника. </w:t>
      </w:r>
    </w:p>
    <w:p>
      <w:pPr>
        <w:pStyle w:val="ConsTitle"/>
        <w:widowControl/>
        <w:ind w:firstLine="720"/>
        <w:jc w:val="both"/>
        <w:rPr>
          <w:rFonts w:ascii="Times New Roman" w:hAnsi="Times New Roman"/>
          <w:b w:val="false"/>
          <w:sz w:val="22"/>
          <w:szCs w:val="22"/>
        </w:rPr>
      </w:pPr>
      <w:r>
        <w:rPr>
          <w:rFonts w:ascii="Times New Roman" w:hAnsi="Times New Roman"/>
          <w:b w:val="false"/>
          <w:sz w:val="24"/>
          <w:szCs w:val="24"/>
        </w:rPr>
        <w:t>3.5. Внесенный задаток не возвращается в случае отказа или уклонения Претендента, признанного победителем торгов, от подписания договора купли-продажи имущества в течение пяти дней с даты получения предложения конкурсного управляющего о заключении договора купли-продажи имущества должника.</w:t>
      </w:r>
    </w:p>
    <w:p>
      <w:pPr>
        <w:pStyle w:val="ConsTitle"/>
        <w:widowControl/>
        <w:jc w:val="both"/>
        <w:rPr>
          <w:rFonts w:ascii="Times New Roman" w:hAnsi="Times New Roman"/>
          <w:b w:val="false"/>
          <w:sz w:val="22"/>
          <w:szCs w:val="22"/>
        </w:rPr>
      </w:pPr>
      <w:r>
        <w:rPr>
          <w:rFonts w:ascii="Times New Roman" w:hAnsi="Times New Roman"/>
          <w:b w:val="false"/>
          <w:sz w:val="24"/>
          <w:szCs w:val="24"/>
        </w:rPr>
      </w:r>
    </w:p>
    <w:p>
      <w:pPr>
        <w:pStyle w:val="ConsTitle"/>
        <w:widowControl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4"/>
          <w:szCs w:val="24"/>
        </w:rPr>
        <w:t>4. СРОК ДЕЙСТВИЯ НАСТОЯЩЕГО ДОГОВОРА</w:t>
      </w:r>
    </w:p>
    <w:p>
      <w:pPr>
        <w:pStyle w:val="ConsTitle"/>
        <w:widowControl/>
        <w:jc w:val="center"/>
        <w:rPr>
          <w:rFonts w:ascii="Times New Roman" w:hAnsi="Times New Roman"/>
          <w:b w:val="false"/>
          <w:sz w:val="22"/>
          <w:szCs w:val="22"/>
        </w:rPr>
      </w:pPr>
      <w:r>
        <w:rPr>
          <w:rFonts w:ascii="Times New Roman" w:hAnsi="Times New Roman"/>
          <w:b w:val="false"/>
          <w:sz w:val="24"/>
          <w:szCs w:val="24"/>
        </w:rPr>
      </w:r>
    </w:p>
    <w:p>
      <w:pPr>
        <w:pStyle w:val="ConsTitle"/>
        <w:widowControl/>
        <w:ind w:firstLine="720"/>
        <w:jc w:val="both"/>
        <w:rPr>
          <w:rFonts w:ascii="Times New Roman" w:hAnsi="Times New Roman"/>
          <w:b w:val="false"/>
          <w:sz w:val="22"/>
          <w:szCs w:val="22"/>
        </w:rPr>
      </w:pPr>
      <w:r>
        <w:rPr>
          <w:rFonts w:ascii="Times New Roman" w:hAnsi="Times New Roman"/>
          <w:b w:val="false"/>
          <w:sz w:val="24"/>
          <w:szCs w:val="24"/>
        </w:rPr>
        <w:t xml:space="preserve"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 </w:t>
      </w:r>
    </w:p>
    <w:p>
      <w:pPr>
        <w:pStyle w:val="ConsTitle"/>
        <w:widowControl/>
        <w:ind w:firstLine="720"/>
        <w:jc w:val="both"/>
        <w:rPr>
          <w:rFonts w:ascii="Times New Roman" w:hAnsi="Times New Roman"/>
          <w:b w:val="false"/>
          <w:sz w:val="22"/>
          <w:szCs w:val="22"/>
        </w:rPr>
      </w:pPr>
      <w:r>
        <w:rPr>
          <w:rFonts w:ascii="Times New Roman" w:hAnsi="Times New Roman"/>
          <w:b w:val="false"/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суда в соответствии с действующим законодательством Российской Федерации.</w:t>
      </w:r>
    </w:p>
    <w:p>
      <w:pPr>
        <w:pStyle w:val="ConsTitle"/>
        <w:widowControl/>
        <w:ind w:firstLine="720"/>
        <w:jc w:val="both"/>
        <w:rPr>
          <w:rFonts w:ascii="Times New Roman" w:hAnsi="Times New Roman"/>
          <w:b w:val="false"/>
          <w:sz w:val="22"/>
          <w:szCs w:val="22"/>
        </w:rPr>
      </w:pPr>
      <w:r>
        <w:rPr>
          <w:rFonts w:ascii="Times New Roman" w:hAnsi="Times New Roman"/>
          <w:b w:val="false"/>
          <w:sz w:val="24"/>
          <w:szCs w:val="24"/>
        </w:rPr>
        <w:t>4.3. Настоящий Договор составлен в двух экземплярах по одному для каждой из Сторон.</w:t>
      </w:r>
    </w:p>
    <w:p>
      <w:pPr>
        <w:pStyle w:val="ConsTitle"/>
        <w:widowControl/>
        <w:ind w:firstLine="720"/>
        <w:jc w:val="both"/>
        <w:rPr>
          <w:rFonts w:ascii="Times New Roman" w:hAnsi="Times New Roman"/>
          <w:b w:val="false"/>
          <w:sz w:val="22"/>
          <w:szCs w:val="22"/>
        </w:rPr>
      </w:pPr>
      <w:r>
        <w:rPr>
          <w:rFonts w:ascii="Times New Roman" w:hAnsi="Times New Roman"/>
          <w:b w:val="false"/>
          <w:sz w:val="24"/>
          <w:szCs w:val="24"/>
        </w:rPr>
      </w:r>
    </w:p>
    <w:p>
      <w:pPr>
        <w:pStyle w:val="Normal"/>
        <w:tabs>
          <w:tab w:val="clear" w:pos="709"/>
          <w:tab w:val="left" w:pos="3315" w:leader="none"/>
        </w:tabs>
        <w:bidi w:val="0"/>
        <w:jc w:val="center"/>
        <w:rPr>
          <w:b/>
          <w:sz w:val="22"/>
          <w:szCs w:val="22"/>
        </w:rPr>
      </w:pPr>
      <w:r>
        <w:rPr>
          <w:b/>
          <w:sz w:val="24"/>
          <w:szCs w:val="24"/>
        </w:rPr>
        <w:t>5. АДРЕСА И БАНКОВСКИЕ РЕКВИЗИТЫ СТОРОН</w:t>
      </w:r>
    </w:p>
    <w:p>
      <w:pPr>
        <w:pStyle w:val="Normal"/>
        <w:tabs>
          <w:tab w:val="clear" w:pos="709"/>
          <w:tab w:val="left" w:pos="3315" w:leader="none"/>
        </w:tabs>
        <w:bidi w:val="0"/>
        <w:jc w:val="center"/>
        <w:rPr>
          <w:b/>
          <w:sz w:val="22"/>
          <w:szCs w:val="22"/>
        </w:rPr>
      </w:pPr>
      <w:r>
        <w:rPr>
          <w:b/>
          <w:sz w:val="24"/>
          <w:szCs w:val="24"/>
        </w:rPr>
      </w:r>
    </w:p>
    <w:p>
      <w:pPr>
        <w:pStyle w:val="Normal"/>
        <w:tabs>
          <w:tab w:val="clear" w:pos="709"/>
          <w:tab w:val="left" w:pos="3315" w:leader="none"/>
        </w:tabs>
        <w:bidi w:val="0"/>
        <w:jc w:val="center"/>
        <w:rPr>
          <w:sz w:val="22"/>
          <w:szCs w:val="22"/>
        </w:rPr>
      </w:pPr>
      <w:r>
        <w:rPr>
          <w:sz w:val="24"/>
          <w:szCs w:val="24"/>
        </w:rPr>
      </w:r>
    </w:p>
    <w:p>
      <w:pPr>
        <w:pStyle w:val="Normal"/>
        <w:bidi w:val="0"/>
        <w:spacing w:lineRule="auto" w:line="216"/>
        <w:jc w:val="center"/>
        <w:rPr>
          <w:b/>
          <w:sz w:val="22"/>
          <w:szCs w:val="22"/>
        </w:rPr>
      </w:pPr>
      <w:r>
        <w:rPr>
          <w:b/>
          <w:sz w:val="24"/>
          <w:szCs w:val="24"/>
        </w:rPr>
        <w:t>ОРГАНИЗАТОР ТОРГОВ:</w:t>
        <w:tab/>
        <w:tab/>
        <w:tab/>
        <w:tab/>
        <w:t xml:space="preserve">            ПРЕТЕНДЕНТ:</w:t>
      </w:r>
    </w:p>
    <w:p>
      <w:pPr>
        <w:pStyle w:val="Normal"/>
        <w:bidi w:val="0"/>
        <w:spacing w:lineRule="auto" w:line="216"/>
        <w:jc w:val="start"/>
        <w:rPr>
          <w:sz w:val="22"/>
          <w:szCs w:val="22"/>
        </w:rPr>
      </w:pPr>
      <w:r>
        <w:rPr>
          <w:sz w:val="24"/>
          <w:szCs w:val="24"/>
        </w:rPr>
      </w:r>
    </w:p>
    <w:tbl>
      <w:tblPr>
        <w:tblW w:w="9639" w:type="dxa"/>
        <w:jc w:val="start"/>
        <w:tblInd w:w="-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0" w:noVBand="0" w:lastRow="0" w:firstColumn="0" w:lastColumn="0" w:noHBand="0" w:val="0000"/>
      </w:tblPr>
      <w:tblGrid>
        <w:gridCol w:w="4962"/>
        <w:gridCol w:w="4676"/>
      </w:tblGrid>
      <w:tr>
        <w:trPr/>
        <w:tc>
          <w:tcPr>
            <w:tcW w:w="4962" w:type="dxa"/>
            <w:tcBorders/>
            <w:shd w:color="auto" w:fill="auto" w:val="clear"/>
          </w:tcPr>
          <w:p>
            <w:pPr>
              <w:pStyle w:val="Normal"/>
              <w:bidi w:val="0"/>
              <w:spacing w:lineRule="auto" w:line="216"/>
              <w:jc w:val="start"/>
              <w:rPr>
                <w:b/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  <w:r>
              <w:rPr>
                <w:b/>
                <w:bCs/>
                <w:sz w:val="24"/>
                <w:szCs w:val="24"/>
              </w:rPr>
              <w:t>Дертева Георгия Александровича</w:t>
            </w:r>
            <w:r>
              <w:rPr>
                <w:b w:val="false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(24.05.1969г.р. ИНН 110601800427, СНИЛС 014-718-267 39) -</w:t>
            </w:r>
          </w:p>
          <w:p>
            <w:pPr>
              <w:pStyle w:val="Normal"/>
              <w:bidi w:val="0"/>
              <w:spacing w:lineRule="auto" w:line="216"/>
              <w:jc w:val="start"/>
              <w:rPr>
                <w:b/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>- Горяева Любовь Владимировна</w:t>
            </w:r>
          </w:p>
          <w:p>
            <w:pPr>
              <w:pStyle w:val="Normal"/>
              <w:bidi w:val="0"/>
              <w:spacing w:lineRule="auto" w:line="216"/>
              <w:jc w:val="start"/>
              <w:rPr>
                <w:b/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4676" w:type="dxa"/>
            <w:tcBorders/>
            <w:shd w:color="auto" w:fill="auto" w:val="clear"/>
          </w:tcPr>
          <w:p>
            <w:pPr>
              <w:pStyle w:val="Normal"/>
              <w:bidi w:val="0"/>
              <w:spacing w:lineRule="auto" w:line="216"/>
              <w:jc w:val="start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678" w:hRule="atLeast"/>
        </w:trPr>
        <w:tc>
          <w:tcPr>
            <w:tcW w:w="4962" w:type="dxa"/>
            <w:tcBorders/>
            <w:shd w:color="auto" w:fill="auto" w:val="clear"/>
          </w:tcPr>
          <w:p>
            <w:pPr>
              <w:pStyle w:val="Normal"/>
              <w:bidi w:val="0"/>
              <w:spacing w:lineRule="auto" w:line="216"/>
              <w:jc w:val="start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Адрес для направления корреспонденции: 185035, Республика Карелия, г. Петрозаводск, ул. Дзержинского, д. 5, а/я 385</w:t>
            </w:r>
          </w:p>
          <w:p>
            <w:pPr>
              <w:pStyle w:val="Normal"/>
              <w:bidi w:val="0"/>
              <w:spacing w:lineRule="auto" w:line="216"/>
              <w:jc w:val="start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uppressAutoHyphens w:val="false"/>
              <w:bidi w:val="0"/>
              <w:spacing w:lineRule="auto" w:line="240"/>
              <w:jc w:val="start"/>
              <w:rPr>
                <w:b/>
                <w:color w:val="auto"/>
                <w:sz w:val="22"/>
                <w:szCs w:val="22"/>
                <w:lang w:eastAsia="ru-RU"/>
              </w:rPr>
            </w:pPr>
            <w:r>
              <w:rPr>
                <w:b/>
                <w:color w:val="auto"/>
                <w:sz w:val="24"/>
                <w:szCs w:val="24"/>
                <w:lang w:eastAsia="ru-RU"/>
              </w:rPr>
              <w:t>Реквизиты:</w:t>
            </w:r>
          </w:p>
          <w:p>
            <w:pPr>
              <w:pStyle w:val="Normal"/>
              <w:suppressAutoHyphens w:val="false"/>
              <w:bidi w:val="0"/>
              <w:spacing w:lineRule="auto" w:line="240"/>
              <w:jc w:val="start"/>
              <w:rPr>
                <w:color w:val="auto"/>
                <w:sz w:val="22"/>
                <w:szCs w:val="22"/>
                <w:lang w:eastAsia="ru-RU"/>
              </w:rPr>
            </w:pPr>
            <w:r>
              <w:rPr>
                <w:color w:val="auto"/>
                <w:sz w:val="24"/>
                <w:szCs w:val="24"/>
                <w:lang w:eastAsia="ru-RU"/>
              </w:rPr>
              <w:t xml:space="preserve">Получатель:  </w:t>
            </w:r>
            <w:r>
              <w:rPr>
                <w:b w:val="false"/>
                <w:color w:val="auto"/>
                <w:sz w:val="24"/>
                <w:szCs w:val="24"/>
                <w:lang w:eastAsia="ru-RU"/>
              </w:rPr>
              <w:t>Дертев Георгий Александрович  ИНН 110601800427</w:t>
            </w:r>
          </w:p>
          <w:p>
            <w:pPr>
              <w:pStyle w:val="Normal"/>
              <w:suppressAutoHyphens w:val="false"/>
              <w:bidi w:val="0"/>
              <w:spacing w:lineRule="auto" w:line="240"/>
              <w:jc w:val="start"/>
              <w:rPr>
                <w:color w:val="auto"/>
                <w:sz w:val="22"/>
                <w:szCs w:val="22"/>
                <w:lang w:eastAsia="ru-RU"/>
              </w:rPr>
            </w:pPr>
            <w:r>
              <w:rPr>
                <w:b w:val="false"/>
                <w:color w:val="auto"/>
                <w:sz w:val="24"/>
                <w:szCs w:val="24"/>
                <w:lang w:eastAsia="ru-RU"/>
              </w:rPr>
              <w:t>Счет: 40817810150220269541 в ФИЛИАЛ "ЦЕНТРАЛЬНЫЙ" ПАО "СОВКОМБАНК" (БЕРДСК), к/с 30101810150040000763</w:t>
            </w:r>
          </w:p>
          <w:p>
            <w:pPr>
              <w:pStyle w:val="Normal"/>
              <w:suppressAutoHyphens w:val="false"/>
              <w:bidi w:val="0"/>
              <w:spacing w:lineRule="auto" w:line="240"/>
              <w:jc w:val="start"/>
              <w:rPr>
                <w:color w:val="auto"/>
                <w:sz w:val="22"/>
                <w:szCs w:val="22"/>
                <w:lang w:eastAsia="ru-RU"/>
              </w:rPr>
            </w:pPr>
            <w:r>
              <w:rPr>
                <w:b w:val="false"/>
                <w:color w:val="auto"/>
                <w:sz w:val="24"/>
                <w:szCs w:val="24"/>
                <w:lang w:eastAsia="ru-RU"/>
              </w:rPr>
              <w:t xml:space="preserve"> </w:t>
            </w:r>
            <w:r>
              <w:rPr>
                <w:b w:val="false"/>
                <w:color w:val="auto"/>
                <w:sz w:val="24"/>
                <w:szCs w:val="24"/>
                <w:lang w:eastAsia="ru-RU"/>
              </w:rPr>
              <w:t>БИК 045004763</w:t>
            </w:r>
          </w:p>
          <w:p>
            <w:pPr>
              <w:pStyle w:val="Normal"/>
              <w:suppressAutoHyphens w:val="false"/>
              <w:bidi w:val="0"/>
              <w:spacing w:lineRule="auto" w:line="240"/>
              <w:jc w:val="start"/>
              <w:rPr>
                <w:color w:val="auto"/>
                <w:sz w:val="22"/>
                <w:szCs w:val="22"/>
                <w:lang w:eastAsia="ru-RU"/>
              </w:rPr>
            </w:pPr>
            <w:r>
              <w:rPr>
                <w:color w:val="auto"/>
                <w:sz w:val="24"/>
                <w:szCs w:val="24"/>
                <w:lang w:eastAsia="ru-RU"/>
              </w:rPr>
            </w:r>
          </w:p>
          <w:p>
            <w:pPr>
              <w:pStyle w:val="Normal"/>
              <w:bidi w:val="0"/>
              <w:spacing w:lineRule="auto" w:line="216"/>
              <w:jc w:val="start"/>
              <w:rPr>
                <w:b/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Normal"/>
              <w:bidi w:val="0"/>
              <w:spacing w:lineRule="auto" w:line="216"/>
              <w:jc w:val="start"/>
              <w:rPr>
                <w:b/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Normal"/>
              <w:bidi w:val="0"/>
              <w:spacing w:lineRule="auto" w:line="216"/>
              <w:jc w:val="start"/>
              <w:rPr>
                <w:b/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>__________________/ Л.В. Горяева /</w:t>
            </w:r>
          </w:p>
          <w:p>
            <w:pPr>
              <w:pStyle w:val="Normal"/>
              <w:bidi w:val="0"/>
              <w:spacing w:lineRule="auto" w:line="216"/>
              <w:jc w:val="start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bidi w:val="0"/>
              <w:spacing w:lineRule="auto" w:line="216"/>
              <w:jc w:val="start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М.П.</w:t>
            </w:r>
          </w:p>
        </w:tc>
        <w:tc>
          <w:tcPr>
            <w:tcW w:w="4676" w:type="dxa"/>
            <w:tcBorders/>
            <w:shd w:color="auto" w:fill="auto" w:val="clear"/>
          </w:tcPr>
          <w:p>
            <w:pPr>
              <w:pStyle w:val="Normal"/>
              <w:bidi w:val="0"/>
              <w:spacing w:lineRule="auto" w:line="216"/>
              <w:jc w:val="start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bidi w:val="0"/>
        <w:jc w:val="start"/>
        <w:rPr>
          <w:sz w:val="22"/>
          <w:szCs w:val="22"/>
        </w:rPr>
      </w:pPr>
      <w:r>
        <w:rPr>
          <w:sz w:val="24"/>
          <w:szCs w:val="24"/>
        </w:rPr>
      </w:r>
    </w:p>
    <w:p>
      <w:pPr>
        <w:pStyle w:val="Normal"/>
        <w:bidi w:val="0"/>
        <w:jc w:val="start"/>
        <w:rPr/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Liberation Sans">
    <w:altName w:val="Arial"/>
    <w:charset w:val="cc" w:characterSet="windows-1251"/>
    <w:family w:val="swiss"/>
    <w:pitch w:val="variable"/>
  </w:font>
  <w:font w:name="Arial">
    <w:charset w:val="cc" w:characterSet="windows-1251"/>
    <w:family w:val="roman"/>
    <w:pitch w:val="variable"/>
  </w:font>
  <w:font w:name="Courier New">
    <w:charset w:val="cc" w:characterSet="windows-1251"/>
    <w:family w:val="roman"/>
    <w:pitch w:val="variable"/>
  </w:font>
  <w:font w:name="Times New Roman">
    <w:charset w:val="cc" w:characterSet="windows-125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420" w:hanging="420"/>
      </w:pPr>
      <w:rPr/>
    </w:lvl>
    <w:lvl w:ilvl="1">
      <w:start w:val="1"/>
      <w:numFmt w:val="decimal"/>
      <w:lvlText w:val="%1.%2."/>
      <w:lvlJc w:val="start"/>
      <w:pPr>
        <w:tabs>
          <w:tab w:val="num" w:pos="0"/>
        </w:tabs>
        <w:ind w:start="1129" w:hanging="420"/>
      </w:pPr>
      <w:rPr/>
    </w:lvl>
    <w:lvl w:ilvl="2">
      <w:start w:val="1"/>
      <w:numFmt w:val="decimal"/>
      <w:lvlText w:val="%1.%2.%3."/>
      <w:lvlJc w:val="start"/>
      <w:pPr>
        <w:tabs>
          <w:tab w:val="num" w:pos="0"/>
        </w:tabs>
        <w:ind w:start="2138" w:hanging="720"/>
      </w:pPr>
      <w:rPr/>
    </w:lvl>
    <w:lvl w:ilvl="3">
      <w:start w:val="1"/>
      <w:numFmt w:val="decimal"/>
      <w:lvlText w:val="%1.%2.%3.%4."/>
      <w:lvlJc w:val="start"/>
      <w:pPr>
        <w:tabs>
          <w:tab w:val="num" w:pos="0"/>
        </w:tabs>
        <w:ind w:start="2847" w:hanging="720"/>
      </w:pPr>
      <w:rPr/>
    </w:lvl>
    <w:lvl w:ilvl="4">
      <w:start w:val="1"/>
      <w:numFmt w:val="decimal"/>
      <w:lvlText w:val="%1.%2.%3.%4.%5."/>
      <w:lvlJc w:val="start"/>
      <w:pPr>
        <w:tabs>
          <w:tab w:val="num" w:pos="0"/>
        </w:tabs>
        <w:ind w:start="3916" w:hanging="1080"/>
      </w:pPr>
      <w:rPr/>
    </w:lvl>
    <w:lvl w:ilvl="5">
      <w:start w:val="1"/>
      <w:numFmt w:val="decimal"/>
      <w:lvlText w:val="%1.%2.%3.%4.%5.%6."/>
      <w:lvlJc w:val="start"/>
      <w:pPr>
        <w:tabs>
          <w:tab w:val="num" w:pos="0"/>
        </w:tabs>
        <w:ind w:start="4625" w:hanging="1080"/>
      </w:pPr>
      <w:rPr/>
    </w:lvl>
    <w:lvl w:ilvl="6">
      <w:start w:val="1"/>
      <w:numFmt w:val="decimal"/>
      <w:lvlText w:val="%1.%2.%3.%4.%5.%6.%7."/>
      <w:lvlJc w:val="start"/>
      <w:pPr>
        <w:tabs>
          <w:tab w:val="num" w:pos="0"/>
        </w:tabs>
        <w:ind w:start="5694" w:hanging="1440"/>
      </w:pPr>
      <w:rPr/>
    </w:lvl>
    <w:lvl w:ilvl="7">
      <w:start w:val="1"/>
      <w:numFmt w:val="decimal"/>
      <w:lvlText w:val="%1.%2.%3.%4.%5.%6.%7.%8."/>
      <w:lvlJc w:val="start"/>
      <w:pPr>
        <w:tabs>
          <w:tab w:val="num" w:pos="0"/>
        </w:tabs>
        <w:ind w:start="6403" w:hanging="1440"/>
      </w:pPr>
      <w:rPr/>
    </w:lvl>
    <w:lvl w:ilvl="8">
      <w:start w:val="1"/>
      <w:numFmt w:val="decimal"/>
      <w:lvlText w:val="%1.%2.%3.%4.%5.%6.%7.%8.%9."/>
      <w:lvlJc w:val="start"/>
      <w:pPr>
        <w:tabs>
          <w:tab w:val="num" w:pos="0"/>
        </w:tabs>
        <w:ind w:start="7472" w:hanging="1800"/>
      </w:pPr>
      <w:rPr/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9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ru-R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ru-RU" w:eastAsia="zh-CN" w:bidi="hi-IN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Lucida Sans"/>
    </w:rPr>
  </w:style>
  <w:style w:type="paragraph" w:styleId="ConsTitle">
    <w:name w:val="ConsTitle"/>
    <w:qFormat/>
    <w:pPr>
      <w:widowControl w:val="false"/>
      <w:suppressAutoHyphens w:val="true"/>
      <w:bidi w:val="0"/>
      <w:spacing w:lineRule="atLeast" w:line="100" w:before="0" w:after="0"/>
      <w:jc w:val="start"/>
    </w:pPr>
    <w:rPr>
      <w:rFonts w:ascii="Arial" w:hAnsi="Arial" w:eastAsia="Times New Roman" w:cs="Times New Roman"/>
      <w:b/>
      <w:color w:val="auto"/>
      <w:kern w:val="0"/>
      <w:sz w:val="16"/>
      <w:szCs w:val="20"/>
      <w:lang w:val="ru-RU" w:eastAsia="ar-SA" w:bidi="ar-SA"/>
    </w:rPr>
  </w:style>
  <w:style w:type="paragraph" w:styleId="ConsNonformat">
    <w:name w:val="ConsNonformat"/>
    <w:qFormat/>
    <w:pPr>
      <w:widowControl/>
      <w:suppressAutoHyphens w:val="true"/>
      <w:bidi w:val="0"/>
      <w:spacing w:lineRule="atLeast" w:line="100" w:before="0" w:after="0"/>
      <w:jc w:val="start"/>
    </w:pPr>
    <w:rPr>
      <w:rFonts w:ascii="Courier New" w:hAnsi="Courier New" w:eastAsia="Times New Roman" w:cs="Times New Roman"/>
      <w:color w:val="auto"/>
      <w:kern w:val="0"/>
      <w:sz w:val="20"/>
      <w:szCs w:val="20"/>
      <w:lang w:val="ru-RU" w:eastAsia="ar-SA" w:bidi="ar-SA"/>
    </w:rPr>
  </w:style>
  <w:style w:type="paragraph" w:styleId="ConsNormal">
    <w:name w:val="ConsNormal"/>
    <w:qFormat/>
    <w:pPr>
      <w:widowControl/>
      <w:suppressAutoHyphens w:val="true"/>
      <w:bidi w:val="0"/>
      <w:spacing w:lineRule="atLeast" w:line="100" w:before="0" w:after="0"/>
      <w:ind w:firstLine="720"/>
      <w:jc w:val="start"/>
    </w:pPr>
    <w:rPr>
      <w:rFonts w:ascii="Arial" w:hAnsi="Arial" w:eastAsia="Times New Roman" w:cs="Times New Roman"/>
      <w:color w:val="auto"/>
      <w:kern w:val="0"/>
      <w:sz w:val="20"/>
      <w:szCs w:val="20"/>
      <w:lang w:val="ru-RU" w:eastAsia="ar-SA" w:bidi="ar-SA"/>
    </w:rPr>
  </w:style>
  <w:style w:type="paragraph" w:styleId="ListParagraph">
    <w:name w:val="List Paragraph"/>
    <w:basedOn w:val="Normal"/>
    <w:qFormat/>
    <w:pPr>
      <w:spacing w:before="0" w:after="0"/>
      <w:ind w:start="720"/>
      <w:contextualSpacing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LibreOffice/7.6.2.1$Windows_X86_64 LibreOffice_project/56f7684011345957bbf33a7ee678afaf4d2ba333</Application>
  <AppVersion>15.0000</AppVersion>
  <Pages>3</Pages>
  <Words>602</Words>
  <Characters>4216</Characters>
  <CharactersWithSpaces>4820</CharactersWithSpaces>
  <Paragraphs>32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2026-06-05T11:34:59Z</dcterms:created>
  <dc:creator/>
  <dc:description/>
  <dc:language>ru-RU</dc:language>
  <cp:lastModifiedBy/>
  <dcterms:modified xsi:type="dcterms:W3CDTF">2026-06-05T11:35:30Z</dcterms:modified>
  <cp:revision>1</cp:revision>
  <dc:subject/>
  <dc:title/>
</cp:coreProperties>
</file>