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C5F5" w14:textId="77777777" w:rsidR="00773297" w:rsidRPr="006626DD" w:rsidRDefault="00773297">
      <w:pPr>
        <w:jc w:val="center"/>
        <w:rPr>
          <w:rFonts w:ascii="Cambria" w:hAnsi="Cambria"/>
          <w:b/>
        </w:rPr>
      </w:pPr>
      <w:r w:rsidRPr="006626DD">
        <w:rPr>
          <w:rFonts w:ascii="Cambria" w:hAnsi="Cambria"/>
          <w:b/>
        </w:rPr>
        <w:t xml:space="preserve">ДОГОВОР О ЗАДАТКЕ № </w:t>
      </w:r>
    </w:p>
    <w:p w14:paraId="588A0645" w14:textId="77777777" w:rsidR="00773297" w:rsidRPr="006626DD" w:rsidRDefault="00773297">
      <w:pPr>
        <w:jc w:val="center"/>
        <w:rPr>
          <w:rFonts w:ascii="Cambria" w:hAnsi="Cambria"/>
          <w:b/>
        </w:rPr>
      </w:pPr>
    </w:p>
    <w:tbl>
      <w:tblPr>
        <w:tblW w:w="0" w:type="auto"/>
        <w:tblLayout w:type="fixed"/>
        <w:tblLook w:val="0000" w:firstRow="0" w:lastRow="0" w:firstColumn="0" w:lastColumn="0" w:noHBand="0" w:noVBand="0"/>
      </w:tblPr>
      <w:tblGrid>
        <w:gridCol w:w="5068"/>
        <w:gridCol w:w="5069"/>
      </w:tblGrid>
      <w:tr w:rsidR="00773297" w:rsidRPr="006626DD" w14:paraId="42A55A33" w14:textId="77777777">
        <w:tc>
          <w:tcPr>
            <w:tcW w:w="5068" w:type="dxa"/>
          </w:tcPr>
          <w:p w14:paraId="421F5CBC" w14:textId="77777777" w:rsidR="00773297" w:rsidRPr="006626DD" w:rsidRDefault="00773297">
            <w:pPr>
              <w:snapToGrid w:val="0"/>
              <w:rPr>
                <w:rFonts w:ascii="Cambria" w:hAnsi="Cambria"/>
              </w:rPr>
            </w:pPr>
            <w:r w:rsidRPr="006626DD">
              <w:rPr>
                <w:rFonts w:ascii="Cambria" w:hAnsi="Cambria"/>
              </w:rPr>
              <w:t>г. Ейск</w:t>
            </w:r>
          </w:p>
        </w:tc>
        <w:tc>
          <w:tcPr>
            <w:tcW w:w="5069" w:type="dxa"/>
          </w:tcPr>
          <w:p w14:paraId="48355FB4" w14:textId="77777777" w:rsidR="00773297" w:rsidRPr="006626DD" w:rsidRDefault="006F14A9" w:rsidP="00FD1E60">
            <w:pPr>
              <w:snapToGrid w:val="0"/>
              <w:jc w:val="right"/>
              <w:rPr>
                <w:rFonts w:ascii="Cambria" w:hAnsi="Cambria"/>
              </w:rPr>
            </w:pPr>
            <w:r w:rsidRPr="006626DD">
              <w:rPr>
                <w:rFonts w:ascii="Cambria" w:hAnsi="Cambria"/>
              </w:rPr>
              <w:t>«   » _____________ 202</w:t>
            </w:r>
            <w:r w:rsidR="00FD1E60">
              <w:rPr>
                <w:rFonts w:ascii="Cambria" w:hAnsi="Cambria"/>
              </w:rPr>
              <w:t>6</w:t>
            </w:r>
            <w:r w:rsidR="00773297" w:rsidRPr="006626DD">
              <w:rPr>
                <w:rFonts w:ascii="Cambria" w:hAnsi="Cambria"/>
              </w:rPr>
              <w:t>г.</w:t>
            </w:r>
          </w:p>
        </w:tc>
      </w:tr>
    </w:tbl>
    <w:p w14:paraId="5C824040" w14:textId="77777777" w:rsidR="005C0F2A" w:rsidRPr="006626DD" w:rsidRDefault="005C0F2A" w:rsidP="007C6459">
      <w:pPr>
        <w:ind w:firstLine="567"/>
        <w:jc w:val="both"/>
        <w:rPr>
          <w:rFonts w:ascii="Cambria" w:hAnsi="Cambria"/>
        </w:rPr>
      </w:pPr>
    </w:p>
    <w:p w14:paraId="0BE7BC68" w14:textId="77777777" w:rsidR="005211A7" w:rsidRPr="006626DD" w:rsidRDefault="006626DD" w:rsidP="006626DD">
      <w:pPr>
        <w:ind w:firstLine="567"/>
        <w:jc w:val="both"/>
        <w:rPr>
          <w:rFonts w:ascii="Cambria" w:hAnsi="Cambria"/>
        </w:rPr>
      </w:pPr>
      <w:r w:rsidRPr="006626DD">
        <w:rPr>
          <w:rFonts w:ascii="Cambria" w:hAnsi="Cambria"/>
        </w:rPr>
        <w:t>Конкурсный</w:t>
      </w:r>
      <w:r w:rsidR="00F26DF9" w:rsidRPr="006626DD">
        <w:rPr>
          <w:rFonts w:ascii="Cambria" w:hAnsi="Cambria"/>
        </w:rPr>
        <w:t xml:space="preserve"> управляющий </w:t>
      </w:r>
      <w:r w:rsidR="0072053C" w:rsidRPr="00D0148F">
        <w:rPr>
          <w:rFonts w:ascii="Cambria" w:hAnsi="Cambria"/>
        </w:rPr>
        <w:t>ООО "</w:t>
      </w:r>
      <w:r w:rsidR="00FD1E60">
        <w:rPr>
          <w:rFonts w:ascii="Cambria" w:hAnsi="Cambria"/>
        </w:rPr>
        <w:t>АРТА-РУСЬ</w:t>
      </w:r>
      <w:r w:rsidR="0072053C" w:rsidRPr="00D0148F">
        <w:rPr>
          <w:rFonts w:ascii="Cambria" w:hAnsi="Cambria"/>
        </w:rPr>
        <w:t xml:space="preserve">", </w:t>
      </w:r>
      <w:r w:rsidR="00FD1E60" w:rsidRPr="00623AD2">
        <w:rPr>
          <w:rFonts w:ascii="Cambria" w:hAnsi="Cambria"/>
        </w:rPr>
        <w:t>ИНН 6165205392, ОГРН 1176196000078, 346818 Ростовская обл, Мясниковский р-н. х. Ленинаван ул.Ленина зд. 1и, пом. 6</w:t>
      </w:r>
      <w:r w:rsidR="0072053C" w:rsidRPr="00D0148F">
        <w:rPr>
          <w:rFonts w:ascii="Cambria" w:hAnsi="Cambria"/>
        </w:rPr>
        <w:t>,</w:t>
      </w:r>
      <w:r w:rsidR="00F26DF9" w:rsidRPr="006626DD">
        <w:rPr>
          <w:rFonts w:ascii="Cambria" w:hAnsi="Cambria"/>
        </w:rPr>
        <w:t xml:space="preserve"> Клименко Дмитрий Иванович, действующ</w:t>
      </w:r>
      <w:r w:rsidR="00505154" w:rsidRPr="006626DD">
        <w:rPr>
          <w:rFonts w:ascii="Cambria" w:hAnsi="Cambria"/>
        </w:rPr>
        <w:t>ий</w:t>
      </w:r>
      <w:r w:rsidR="00816122" w:rsidRPr="006626DD">
        <w:rPr>
          <w:rFonts w:ascii="Cambria" w:hAnsi="Cambria"/>
        </w:rPr>
        <w:t xml:space="preserve">на основании </w:t>
      </w:r>
      <w:r w:rsidR="00674F88" w:rsidRPr="006626DD">
        <w:rPr>
          <w:rFonts w:ascii="Cambria" w:hAnsi="Cambria"/>
        </w:rPr>
        <w:t xml:space="preserve">Решения Арбитражного суда </w:t>
      </w:r>
      <w:r w:rsidRPr="006626DD">
        <w:rPr>
          <w:rFonts w:ascii="Cambria" w:hAnsi="Cambria"/>
        </w:rPr>
        <w:t>Ростовской области</w:t>
      </w:r>
      <w:r w:rsidR="00674F88" w:rsidRPr="006626DD">
        <w:rPr>
          <w:rFonts w:ascii="Cambria" w:hAnsi="Cambria"/>
        </w:rPr>
        <w:t xml:space="preserve"> от </w:t>
      </w:r>
      <w:r w:rsidR="00FD1E60">
        <w:rPr>
          <w:rFonts w:ascii="Cambria" w:hAnsi="Cambria"/>
        </w:rPr>
        <w:t>07.10</w:t>
      </w:r>
      <w:r w:rsidR="001A4693">
        <w:rPr>
          <w:rFonts w:ascii="Cambria" w:hAnsi="Cambria"/>
        </w:rPr>
        <w:t>.2025</w:t>
      </w:r>
      <w:r w:rsidR="00674F88" w:rsidRPr="006626DD">
        <w:rPr>
          <w:rFonts w:ascii="Cambria" w:hAnsi="Cambria"/>
        </w:rPr>
        <w:t>г.</w:t>
      </w:r>
      <w:r w:rsidR="00F26DF9" w:rsidRPr="006626DD">
        <w:rPr>
          <w:rFonts w:ascii="Cambria" w:hAnsi="Cambria"/>
        </w:rPr>
        <w:t xml:space="preserve">, </w:t>
      </w:r>
      <w:r w:rsidR="006966C2" w:rsidRPr="006626DD">
        <w:rPr>
          <w:rFonts w:ascii="Cambria" w:hAnsi="Cambria"/>
        </w:rPr>
        <w:t>именуем</w:t>
      </w:r>
      <w:r w:rsidR="00F26DF9" w:rsidRPr="006626DD">
        <w:rPr>
          <w:rFonts w:ascii="Cambria" w:hAnsi="Cambria"/>
        </w:rPr>
        <w:t>ый</w:t>
      </w:r>
      <w:r w:rsidR="006966C2" w:rsidRPr="006626DD">
        <w:rPr>
          <w:rFonts w:ascii="Cambria" w:hAnsi="Cambria"/>
        </w:rPr>
        <w:t xml:space="preserve"> в дальнейшем «Организатор торгов»</w:t>
      </w:r>
      <w:r w:rsidR="00773297" w:rsidRPr="006626DD">
        <w:rPr>
          <w:rFonts w:ascii="Cambria" w:hAnsi="Cambria"/>
        </w:rPr>
        <w:t xml:space="preserve">, с одной стороны, </w:t>
      </w:r>
    </w:p>
    <w:p w14:paraId="54339D80" w14:textId="77777777" w:rsidR="00773297" w:rsidRPr="006626DD" w:rsidRDefault="00773297" w:rsidP="006626DD">
      <w:pPr>
        <w:ind w:firstLine="567"/>
        <w:jc w:val="both"/>
        <w:rPr>
          <w:rFonts w:ascii="Cambria" w:hAnsi="Cambria"/>
        </w:rPr>
      </w:pPr>
      <w:r w:rsidRPr="006626DD">
        <w:rPr>
          <w:rFonts w:ascii="Cambria" w:hAnsi="Cambria"/>
        </w:rPr>
        <w:t>и Гражданин РФ</w:t>
      </w:r>
      <w:r w:rsidR="00F26DF9" w:rsidRPr="006626DD">
        <w:rPr>
          <w:rFonts w:ascii="Cambria" w:hAnsi="Cambria"/>
        </w:rPr>
        <w:t xml:space="preserve"> (Общество)</w:t>
      </w:r>
      <w:r w:rsidRPr="006626DD">
        <w:rPr>
          <w:rFonts w:ascii="Cambria" w:hAnsi="Cambria"/>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 информационном сообщении о проведении торгов, </w:t>
      </w:r>
      <w:r w:rsidR="00816122" w:rsidRPr="006626DD">
        <w:rPr>
          <w:rFonts w:ascii="Cambria" w:hAnsi="Cambria"/>
        </w:rPr>
        <w:t>опубликованном</w:t>
      </w:r>
      <w:r w:rsidR="002D17BE" w:rsidRPr="006626DD">
        <w:rPr>
          <w:rFonts w:ascii="Cambria" w:hAnsi="Cambria"/>
        </w:rPr>
        <w:t xml:space="preserve"> на сайте Единого федерального реестра сведений о банкротстве сообщение № </w:t>
      </w:r>
      <w:r w:rsidR="002D17BE" w:rsidRPr="006626DD">
        <w:rPr>
          <w:rFonts w:ascii="Cambria" w:hAnsi="Cambria"/>
          <w:color w:val="333333"/>
          <w:shd w:val="clear" w:color="auto" w:fill="F3F6F8"/>
        </w:rPr>
        <w:t>___</w:t>
      </w:r>
      <w:r w:rsidR="002D17BE" w:rsidRPr="006626DD">
        <w:rPr>
          <w:rFonts w:ascii="Cambria" w:hAnsi="Cambria"/>
        </w:rPr>
        <w:t xml:space="preserve"> от </w:t>
      </w:r>
      <w:r w:rsidR="005F72D5" w:rsidRPr="006626DD">
        <w:rPr>
          <w:rFonts w:ascii="Cambria" w:hAnsi="Cambria"/>
        </w:rPr>
        <w:t>_______________</w:t>
      </w:r>
      <w:r w:rsidR="002D17BE" w:rsidRPr="006626DD">
        <w:rPr>
          <w:rFonts w:ascii="Cambria" w:hAnsi="Cambria"/>
        </w:rPr>
        <w:t>г.</w:t>
      </w:r>
      <w:r w:rsidRPr="006626DD">
        <w:rPr>
          <w:rFonts w:ascii="Cambria" w:hAnsi="Cambria"/>
        </w:rPr>
        <w:t>, заключили настоящий Договор о нижеследующем.</w:t>
      </w:r>
    </w:p>
    <w:p w14:paraId="5B2E086C" w14:textId="77777777" w:rsidR="00773297" w:rsidRPr="006626DD" w:rsidRDefault="00773297" w:rsidP="006626DD">
      <w:pPr>
        <w:ind w:firstLine="567"/>
        <w:jc w:val="both"/>
        <w:rPr>
          <w:rFonts w:ascii="Cambria" w:hAnsi="Cambria"/>
        </w:rPr>
      </w:pPr>
    </w:p>
    <w:p w14:paraId="1005F7AC" w14:textId="77777777" w:rsidR="00773297" w:rsidRPr="006626DD" w:rsidRDefault="00773297" w:rsidP="006626DD">
      <w:pPr>
        <w:numPr>
          <w:ilvl w:val="0"/>
          <w:numId w:val="1"/>
        </w:numPr>
        <w:ind w:left="0" w:firstLine="567"/>
        <w:jc w:val="both"/>
        <w:rPr>
          <w:rFonts w:ascii="Cambria" w:hAnsi="Cambria"/>
          <w:b/>
        </w:rPr>
      </w:pPr>
      <w:r w:rsidRPr="006626DD">
        <w:rPr>
          <w:rFonts w:ascii="Cambria" w:hAnsi="Cambria"/>
          <w:b/>
        </w:rPr>
        <w:t>ПРЕДМЕТ ДОГОВОРА</w:t>
      </w:r>
    </w:p>
    <w:p w14:paraId="4FFB2C31" w14:textId="77777777" w:rsidR="00CB2AA4" w:rsidRPr="006626DD" w:rsidRDefault="00773297" w:rsidP="006626DD">
      <w:pPr>
        <w:pStyle w:val="Default"/>
        <w:ind w:firstLine="567"/>
        <w:jc w:val="both"/>
        <w:rPr>
          <w:rFonts w:ascii="Cambria" w:hAnsi="Cambria"/>
        </w:rPr>
      </w:pPr>
      <w:r w:rsidRPr="006626DD">
        <w:rPr>
          <w:rFonts w:ascii="Cambria" w:hAnsi="Cambria"/>
        </w:rPr>
        <w:t xml:space="preserve">Для участия в торгах по продаже Имущества, принадлежащего </w:t>
      </w:r>
      <w:r w:rsidR="00311A65" w:rsidRPr="006626DD">
        <w:rPr>
          <w:rFonts w:ascii="Cambria" w:hAnsi="Cambria"/>
        </w:rPr>
        <w:t>должнику</w:t>
      </w:r>
      <w:r w:rsidRPr="006626DD">
        <w:rPr>
          <w:rFonts w:ascii="Cambria" w:hAnsi="Cambria"/>
        </w:rPr>
        <w:t>, на условиях, содержащихся в информационном сообщении о пр</w:t>
      </w:r>
      <w:r w:rsidR="00CA0982" w:rsidRPr="006626DD">
        <w:rPr>
          <w:rFonts w:ascii="Cambria" w:hAnsi="Cambria"/>
        </w:rPr>
        <w:t>оведении торгов, опубликованном</w:t>
      </w:r>
      <w:r w:rsidR="005F72D5" w:rsidRPr="006626DD">
        <w:rPr>
          <w:rFonts w:ascii="Cambria" w:hAnsi="Cambria"/>
        </w:rPr>
        <w:t xml:space="preserve"> на сайте Единого федерального реестра сведений о банкротстве сообщение</w:t>
      </w:r>
      <w:r w:rsidRPr="006626DD">
        <w:rPr>
          <w:rFonts w:ascii="Cambria" w:hAnsi="Cambria"/>
        </w:rPr>
        <w:t>, Заявитель перечисляет в качестве задатка денежные средства в размере 10% от начальной цены</w:t>
      </w:r>
      <w:r w:rsidR="00CB2AA4" w:rsidRPr="006626DD">
        <w:rPr>
          <w:rFonts w:ascii="Cambria" w:hAnsi="Cambria"/>
        </w:rPr>
        <w:t>:</w:t>
      </w:r>
    </w:p>
    <w:p w14:paraId="71DB422B" w14:textId="4A95C95E" w:rsidR="001A4693" w:rsidRPr="001A4693" w:rsidRDefault="00FD1E60" w:rsidP="006626DD">
      <w:pPr>
        <w:numPr>
          <w:ilvl w:val="1"/>
          <w:numId w:val="1"/>
        </w:numPr>
        <w:tabs>
          <w:tab w:val="left" w:pos="993"/>
        </w:tabs>
        <w:ind w:left="0" w:firstLine="567"/>
        <w:jc w:val="both"/>
        <w:rPr>
          <w:rFonts w:ascii="Cambria" w:hAnsi="Cambria"/>
        </w:rPr>
      </w:pPr>
      <w:r w:rsidRPr="00623AD2">
        <w:rPr>
          <w:rFonts w:ascii="Cambria" w:hAnsi="Cambria"/>
        </w:rPr>
        <w:t>лот №1 GEELY COOLRAY, 2020г.в., VIN Y4K8622Z2LB904095, гос номер B282EB761</w:t>
      </w:r>
      <w:r w:rsidRPr="00623AD2">
        <w:rPr>
          <w:rFonts w:ascii="Cambria" w:hAnsi="Cambria" w:cs="TimesNewRoman"/>
        </w:rPr>
        <w:t xml:space="preserve"> </w:t>
      </w:r>
      <w:r w:rsidRPr="00623AD2">
        <w:rPr>
          <w:rFonts w:ascii="Cambria" w:hAnsi="Cambria"/>
        </w:rPr>
        <w:t xml:space="preserve">– начальная цена </w:t>
      </w:r>
      <w:r w:rsidR="00CA6BF0">
        <w:rPr>
          <w:rFonts w:ascii="Cambria" w:hAnsi="Cambria"/>
        </w:rPr>
        <w:t>1</w:t>
      </w:r>
      <w:r w:rsidR="00CA6BF0">
        <w:rPr>
          <w:rFonts w:ascii="Cambria" w:hAnsi="Cambria"/>
        </w:rPr>
        <w:t> </w:t>
      </w:r>
      <w:r w:rsidR="00CA6BF0">
        <w:rPr>
          <w:rFonts w:ascii="Cambria" w:hAnsi="Cambria"/>
        </w:rPr>
        <w:t>207</w:t>
      </w:r>
      <w:r w:rsidR="00CA6BF0">
        <w:rPr>
          <w:rFonts w:ascii="Cambria" w:hAnsi="Cambria"/>
        </w:rPr>
        <w:t xml:space="preserve"> </w:t>
      </w:r>
      <w:r w:rsidR="00CA6BF0">
        <w:rPr>
          <w:rFonts w:ascii="Cambria" w:hAnsi="Cambria"/>
        </w:rPr>
        <w:t>128,00</w:t>
      </w:r>
      <w:r w:rsidRPr="00623AD2">
        <w:rPr>
          <w:rFonts w:ascii="Cambria" w:hAnsi="Cambria"/>
        </w:rPr>
        <w:t>руб.</w:t>
      </w:r>
    </w:p>
    <w:p w14:paraId="03865AD2" w14:textId="77777777" w:rsidR="00773297" w:rsidRDefault="00773297" w:rsidP="006626DD">
      <w:pPr>
        <w:numPr>
          <w:ilvl w:val="1"/>
          <w:numId w:val="1"/>
        </w:numPr>
        <w:tabs>
          <w:tab w:val="left" w:pos="993"/>
        </w:tabs>
        <w:ind w:left="0" w:firstLine="567"/>
        <w:jc w:val="both"/>
        <w:rPr>
          <w:rFonts w:ascii="Cambria" w:hAnsi="Cambria"/>
        </w:rPr>
      </w:pPr>
      <w:r w:rsidRPr="006626DD">
        <w:rPr>
          <w:rFonts w:ascii="Cambria" w:hAnsi="Cambria"/>
        </w:rPr>
        <w:t>Задаток вносится Заявителем в качестве обеспечения обязательств по оплате</w:t>
      </w:r>
      <w:r w:rsidR="00E04187" w:rsidRPr="006626DD">
        <w:rPr>
          <w:rFonts w:ascii="Cambria" w:hAnsi="Cambria"/>
        </w:rPr>
        <w:t xml:space="preserve"> имущества </w:t>
      </w:r>
      <w:r w:rsidR="0072053C">
        <w:rPr>
          <w:rFonts w:ascii="Cambria" w:hAnsi="Cambria"/>
        </w:rPr>
        <w:t>ООО «</w:t>
      </w:r>
      <w:r w:rsidR="00FD1E60">
        <w:rPr>
          <w:rFonts w:ascii="Cambria" w:hAnsi="Cambria"/>
        </w:rPr>
        <w:t>АРТА-РУСЬ</w:t>
      </w:r>
      <w:r w:rsidR="0072053C">
        <w:rPr>
          <w:rFonts w:ascii="Cambria" w:hAnsi="Cambria"/>
        </w:rPr>
        <w:t>»</w:t>
      </w:r>
      <w:r w:rsidR="006F14A9" w:rsidRPr="006626DD">
        <w:rPr>
          <w:rFonts w:ascii="Cambria" w:hAnsi="Cambria"/>
        </w:rPr>
        <w:t>.</w:t>
      </w:r>
    </w:p>
    <w:p w14:paraId="5456CCAE" w14:textId="77777777" w:rsidR="006626DD" w:rsidRPr="006626DD" w:rsidRDefault="006626DD" w:rsidP="006626DD">
      <w:pPr>
        <w:tabs>
          <w:tab w:val="left" w:pos="993"/>
        </w:tabs>
        <w:ind w:firstLine="567"/>
        <w:jc w:val="both"/>
        <w:rPr>
          <w:rFonts w:ascii="Cambria" w:hAnsi="Cambria"/>
        </w:rPr>
      </w:pPr>
    </w:p>
    <w:p w14:paraId="20F7175D" w14:textId="77777777" w:rsidR="00773297" w:rsidRPr="006626DD" w:rsidRDefault="00773297" w:rsidP="006626DD">
      <w:pPr>
        <w:ind w:firstLine="567"/>
        <w:jc w:val="both"/>
        <w:rPr>
          <w:rFonts w:ascii="Cambria" w:hAnsi="Cambria"/>
          <w:b/>
        </w:rPr>
      </w:pPr>
      <w:r w:rsidRPr="006626DD">
        <w:rPr>
          <w:rFonts w:ascii="Cambria" w:hAnsi="Cambria"/>
          <w:b/>
        </w:rPr>
        <w:t>2. ПЕРЕДАЧА ДЕНЕЖНЫХ СРЕДСТВ</w:t>
      </w:r>
    </w:p>
    <w:p w14:paraId="424810B2" w14:textId="77777777" w:rsidR="00FD70AA" w:rsidRPr="006626DD" w:rsidRDefault="00773297" w:rsidP="006626DD">
      <w:pPr>
        <w:ind w:firstLine="567"/>
        <w:jc w:val="both"/>
        <w:rPr>
          <w:rFonts w:ascii="Cambria" w:hAnsi="Cambria"/>
        </w:rPr>
      </w:pPr>
      <w:r w:rsidRPr="006626DD">
        <w:rPr>
          <w:rFonts w:ascii="Cambria" w:hAnsi="Cambria"/>
        </w:rPr>
        <w:t xml:space="preserve">2.1. </w:t>
      </w:r>
      <w:r w:rsidR="006966C2" w:rsidRPr="006626DD">
        <w:rPr>
          <w:rFonts w:ascii="Cambria" w:hAnsi="Cambria"/>
        </w:rPr>
        <w:t>Заявитель вносит на расчетный счет</w:t>
      </w:r>
      <w:r w:rsidR="0072053C">
        <w:rPr>
          <w:rFonts w:ascii="Cambria" w:hAnsi="Cambria"/>
        </w:rPr>
        <w:t xml:space="preserve"> ЭТП</w:t>
      </w:r>
      <w:r w:rsidR="00591159" w:rsidRPr="006626DD">
        <w:rPr>
          <w:rFonts w:ascii="Cambria" w:hAnsi="Cambria"/>
        </w:rPr>
        <w:t>:</w:t>
      </w:r>
    </w:p>
    <w:p w14:paraId="61B54232" w14:textId="77777777" w:rsidR="00FD70AA" w:rsidRPr="006626DD" w:rsidRDefault="0072053C" w:rsidP="006626DD">
      <w:pPr>
        <w:ind w:firstLine="567"/>
        <w:jc w:val="both"/>
        <w:rPr>
          <w:rFonts w:ascii="Cambria" w:hAnsi="Cambria"/>
        </w:rPr>
      </w:pPr>
      <w:r w:rsidRPr="00D0148F">
        <w:rPr>
          <w:rStyle w:val="paragraph"/>
          <w:rFonts w:ascii="Cambria" w:hAnsi="Cambria"/>
        </w:rPr>
        <w:t xml:space="preserve">перечисляется из личного кабинета на ЭТП с лицевого счета участника торгов, для пополнения лицевого счета денежные средства вносятся на счет ЭТП: </w:t>
      </w:r>
      <w:r w:rsidR="001A4693" w:rsidRPr="00086854">
        <w:rPr>
          <w:rStyle w:val="paragraph"/>
          <w:rFonts w:asciiTheme="majorHAnsi" w:hAnsiTheme="majorHAnsi"/>
        </w:rPr>
        <w:t>ООО «МЭТС», 302023, г. Орел, ул. Раздольная, д 11, пом 137; ИНН 5751039346; КПП 575101001; ОГРН 1105742000858; р/с 40702810547710000225; ОРЛОВСКОЕ ОТДЕЛЕНИЕ N8595 ПАО СБЕРБАНК, к/с 30101810300000000601, БИК 045402601.</w:t>
      </w:r>
    </w:p>
    <w:p w14:paraId="01B96796" w14:textId="77777777" w:rsidR="006966C2" w:rsidRPr="006626DD" w:rsidRDefault="006966C2" w:rsidP="006626DD">
      <w:pPr>
        <w:ind w:firstLine="567"/>
        <w:jc w:val="both"/>
        <w:rPr>
          <w:rFonts w:ascii="Cambria" w:hAnsi="Cambria"/>
        </w:rPr>
      </w:pPr>
      <w:r w:rsidRPr="006626DD">
        <w:rPr>
          <w:rFonts w:ascii="Cambria" w:hAnsi="Cambria"/>
        </w:rPr>
        <w:t xml:space="preserve">задаток в размере 10 % от начальной цены лота № </w:t>
      </w:r>
      <w:r w:rsidR="00FD70AA" w:rsidRPr="006626DD">
        <w:rPr>
          <w:rFonts w:ascii="Cambria" w:hAnsi="Cambria"/>
        </w:rPr>
        <w:t>____</w:t>
      </w:r>
      <w:r w:rsidRPr="006626DD">
        <w:rPr>
          <w:rFonts w:ascii="Cambria" w:hAnsi="Cambria"/>
        </w:rPr>
        <w:t xml:space="preserve">, что составляет </w:t>
      </w:r>
      <w:r w:rsidR="009E4675" w:rsidRPr="006626DD">
        <w:rPr>
          <w:rFonts w:ascii="Cambria" w:hAnsi="Cambria"/>
          <w:b/>
        </w:rPr>
        <w:t>___________.</w:t>
      </w:r>
    </w:p>
    <w:p w14:paraId="40C79CCA" w14:textId="12EAE80D" w:rsidR="00773297" w:rsidRPr="006626DD" w:rsidRDefault="00773297" w:rsidP="006626DD">
      <w:pPr>
        <w:ind w:firstLine="567"/>
        <w:jc w:val="both"/>
        <w:rPr>
          <w:rFonts w:ascii="Cambria" w:hAnsi="Cambria"/>
        </w:rPr>
      </w:pPr>
      <w:r w:rsidRPr="006626DD">
        <w:rPr>
          <w:rFonts w:ascii="Cambria" w:hAnsi="Cambria"/>
        </w:rPr>
        <w:t xml:space="preserve">2.2. Срок внесения задатка не позднее </w:t>
      </w:r>
      <w:r w:rsidR="00CA6BF0">
        <w:rPr>
          <w:rFonts w:ascii="Cambria" w:hAnsi="Cambria"/>
          <w:highlight w:val="yellow"/>
        </w:rPr>
        <w:t>17.07</w:t>
      </w:r>
      <w:r w:rsidR="00FD1E60">
        <w:rPr>
          <w:rFonts w:ascii="Cambria" w:hAnsi="Cambria"/>
          <w:highlight w:val="yellow"/>
        </w:rPr>
        <w:t>.2026</w:t>
      </w:r>
      <w:r w:rsidR="00E7691D" w:rsidRPr="006626DD">
        <w:rPr>
          <w:rFonts w:ascii="Cambria" w:hAnsi="Cambria"/>
          <w:highlight w:val="yellow"/>
        </w:rPr>
        <w:t xml:space="preserve">г. </w:t>
      </w:r>
      <w:r w:rsidR="0072053C">
        <w:rPr>
          <w:rFonts w:ascii="Cambria" w:hAnsi="Cambria"/>
        </w:rPr>
        <w:t>20</w:t>
      </w:r>
      <w:r w:rsidR="006626DD">
        <w:rPr>
          <w:rFonts w:ascii="Cambria" w:hAnsi="Cambria"/>
        </w:rPr>
        <w:t>-00.</w:t>
      </w:r>
    </w:p>
    <w:p w14:paraId="44D6CD2C" w14:textId="77777777" w:rsidR="00773297" w:rsidRPr="006626DD" w:rsidRDefault="00773297" w:rsidP="006626DD">
      <w:pPr>
        <w:ind w:firstLine="567"/>
        <w:jc w:val="both"/>
        <w:rPr>
          <w:rFonts w:ascii="Cambria" w:hAnsi="Cambria"/>
        </w:rPr>
      </w:pPr>
      <w:r w:rsidRPr="006626DD">
        <w:rPr>
          <w:rFonts w:ascii="Cambria" w:hAnsi="Cambria"/>
        </w:rPr>
        <w:t>2.3. Задаток считается внесенным с момента зачисления денежных средств</w:t>
      </w:r>
      <w:r w:rsidR="00FD70AA" w:rsidRPr="006626DD">
        <w:rPr>
          <w:rFonts w:ascii="Cambria" w:hAnsi="Cambria"/>
        </w:rPr>
        <w:t xml:space="preserve"> на счет, указанный в п. 2.1</w:t>
      </w:r>
      <w:r w:rsidRPr="006626DD">
        <w:rPr>
          <w:rFonts w:ascii="Cambria" w:hAnsi="Cambria"/>
        </w:rPr>
        <w:t>.</w:t>
      </w:r>
      <w:r w:rsidR="00FD70AA" w:rsidRPr="006626DD">
        <w:rPr>
          <w:rFonts w:ascii="Cambria" w:hAnsi="Cambria"/>
        </w:rPr>
        <w:t xml:space="preserve"> настоящего договора.</w:t>
      </w:r>
      <w:r w:rsidRPr="006626DD">
        <w:rPr>
          <w:rFonts w:ascii="Cambria" w:hAnsi="Cambria"/>
        </w:rPr>
        <w:t xml:space="preserve"> В противном случае обязательства Заявителя считаются неисполненными, и он не допускается к участию в торгах.</w:t>
      </w:r>
    </w:p>
    <w:p w14:paraId="7F89EF04" w14:textId="77777777" w:rsidR="00773297" w:rsidRPr="006626DD" w:rsidRDefault="00773297" w:rsidP="006626DD">
      <w:pPr>
        <w:ind w:firstLine="567"/>
        <w:jc w:val="both"/>
        <w:rPr>
          <w:rFonts w:ascii="Cambria" w:hAnsi="Cambria"/>
        </w:rPr>
      </w:pPr>
      <w:r w:rsidRPr="006626DD">
        <w:rPr>
          <w:rFonts w:ascii="Cambria" w:hAnsi="Cambria"/>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14:paraId="69A36B14" w14:textId="77777777" w:rsidR="00773297" w:rsidRPr="006626DD" w:rsidRDefault="00773297" w:rsidP="006626DD">
      <w:pPr>
        <w:ind w:firstLine="567"/>
        <w:jc w:val="both"/>
        <w:rPr>
          <w:rFonts w:ascii="Cambria" w:hAnsi="Cambria"/>
        </w:rPr>
      </w:pPr>
      <w:r w:rsidRPr="006626DD">
        <w:rPr>
          <w:rFonts w:ascii="Cambria" w:hAnsi="Cambria"/>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14:paraId="3D4FDD92" w14:textId="77777777" w:rsidR="00773297" w:rsidRPr="006626DD" w:rsidRDefault="00773297" w:rsidP="006626DD">
      <w:pPr>
        <w:ind w:firstLine="567"/>
        <w:jc w:val="both"/>
        <w:rPr>
          <w:rFonts w:ascii="Cambria" w:hAnsi="Cambria"/>
        </w:rPr>
      </w:pPr>
      <w:r w:rsidRPr="006626DD">
        <w:rPr>
          <w:rFonts w:ascii="Cambria" w:hAnsi="Cambria"/>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14:paraId="3BF3F4D1" w14:textId="77777777" w:rsidR="00773297" w:rsidRPr="006626DD" w:rsidRDefault="00773297" w:rsidP="006626DD">
      <w:pPr>
        <w:ind w:firstLine="567"/>
        <w:jc w:val="both"/>
        <w:rPr>
          <w:rFonts w:ascii="Cambria" w:hAnsi="Cambria"/>
        </w:rPr>
      </w:pPr>
      <w:r w:rsidRPr="006626DD">
        <w:rPr>
          <w:rFonts w:ascii="Cambria" w:hAnsi="Cambria"/>
        </w:rPr>
        <w:t>2.7. На денежные средства, перечисленные в соответствии с настоящим Договором, проценты не начисляются.</w:t>
      </w:r>
    </w:p>
    <w:p w14:paraId="1903DA68" w14:textId="77777777" w:rsidR="00773297" w:rsidRPr="006626DD" w:rsidRDefault="00773297" w:rsidP="006626DD">
      <w:pPr>
        <w:ind w:firstLine="567"/>
        <w:jc w:val="both"/>
        <w:rPr>
          <w:rFonts w:ascii="Cambria" w:hAnsi="Cambria"/>
          <w:color w:val="000000"/>
        </w:rPr>
      </w:pPr>
      <w:r w:rsidRPr="006626DD">
        <w:rPr>
          <w:rFonts w:ascii="Cambria" w:hAnsi="Cambria"/>
        </w:rPr>
        <w:lastRenderedPageBreak/>
        <w:t xml:space="preserve">2.8. </w:t>
      </w:r>
      <w:r w:rsidRPr="006626DD">
        <w:rPr>
          <w:rFonts w:ascii="Cambria" w:hAnsi="Cambria"/>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6626DD" w14:paraId="1071E739" w14:textId="77777777">
        <w:tc>
          <w:tcPr>
            <w:tcW w:w="1668" w:type="dxa"/>
          </w:tcPr>
          <w:p w14:paraId="43DE9183" w14:textId="77777777" w:rsidR="00773297" w:rsidRPr="006626DD" w:rsidRDefault="00773297" w:rsidP="006626DD">
            <w:pPr>
              <w:snapToGrid w:val="0"/>
              <w:ind w:firstLine="567"/>
              <w:jc w:val="both"/>
              <w:rPr>
                <w:rFonts w:ascii="Cambria" w:hAnsi="Cambria"/>
              </w:rPr>
            </w:pPr>
            <w:r w:rsidRPr="006626DD">
              <w:rPr>
                <w:rFonts w:ascii="Cambria" w:hAnsi="Cambria"/>
              </w:rPr>
              <w:t xml:space="preserve">Получатель - </w:t>
            </w:r>
          </w:p>
        </w:tc>
        <w:tc>
          <w:tcPr>
            <w:tcW w:w="8469" w:type="dxa"/>
            <w:tcBorders>
              <w:bottom w:val="single" w:sz="4" w:space="0" w:color="000000"/>
            </w:tcBorders>
          </w:tcPr>
          <w:p w14:paraId="4C811E3D" w14:textId="77777777" w:rsidR="00773297" w:rsidRPr="006626DD" w:rsidRDefault="00773297" w:rsidP="006626DD">
            <w:pPr>
              <w:snapToGrid w:val="0"/>
              <w:ind w:firstLine="567"/>
              <w:jc w:val="both"/>
              <w:rPr>
                <w:rFonts w:ascii="Cambria" w:hAnsi="Cambria"/>
              </w:rPr>
            </w:pPr>
          </w:p>
        </w:tc>
      </w:tr>
      <w:tr w:rsidR="00773297" w:rsidRPr="006626DD" w14:paraId="1C582852" w14:textId="77777777">
        <w:tc>
          <w:tcPr>
            <w:tcW w:w="1668" w:type="dxa"/>
          </w:tcPr>
          <w:p w14:paraId="7CC0401C" w14:textId="77777777" w:rsidR="00773297" w:rsidRPr="006626DD" w:rsidRDefault="00773297" w:rsidP="006626DD">
            <w:pPr>
              <w:snapToGrid w:val="0"/>
              <w:ind w:firstLine="567"/>
              <w:jc w:val="both"/>
              <w:rPr>
                <w:rFonts w:ascii="Cambria" w:hAnsi="Cambria"/>
              </w:rPr>
            </w:pPr>
            <w:r w:rsidRPr="006626DD">
              <w:rPr>
                <w:rFonts w:ascii="Cambria" w:hAnsi="Cambria"/>
              </w:rPr>
              <w:t xml:space="preserve">Р. / сч. - </w:t>
            </w:r>
          </w:p>
        </w:tc>
        <w:tc>
          <w:tcPr>
            <w:tcW w:w="8469" w:type="dxa"/>
            <w:tcBorders>
              <w:top w:val="single" w:sz="4" w:space="0" w:color="000000"/>
              <w:bottom w:val="single" w:sz="4" w:space="0" w:color="000000"/>
            </w:tcBorders>
          </w:tcPr>
          <w:p w14:paraId="76685A2B" w14:textId="77777777" w:rsidR="00773297" w:rsidRPr="006626DD" w:rsidRDefault="00773297" w:rsidP="006626DD">
            <w:pPr>
              <w:snapToGrid w:val="0"/>
              <w:ind w:firstLine="567"/>
              <w:jc w:val="both"/>
              <w:rPr>
                <w:rFonts w:ascii="Cambria" w:hAnsi="Cambria"/>
              </w:rPr>
            </w:pPr>
          </w:p>
        </w:tc>
      </w:tr>
      <w:tr w:rsidR="00773297" w:rsidRPr="006626DD" w14:paraId="5EF4FCED" w14:textId="77777777">
        <w:tc>
          <w:tcPr>
            <w:tcW w:w="1668" w:type="dxa"/>
          </w:tcPr>
          <w:p w14:paraId="7D0F9FA3" w14:textId="77777777" w:rsidR="00773297" w:rsidRPr="006626DD" w:rsidRDefault="00773297" w:rsidP="006626DD">
            <w:pPr>
              <w:snapToGrid w:val="0"/>
              <w:ind w:firstLine="567"/>
              <w:jc w:val="both"/>
              <w:rPr>
                <w:rFonts w:ascii="Cambria" w:hAnsi="Cambria"/>
              </w:rPr>
            </w:pPr>
            <w:r w:rsidRPr="006626DD">
              <w:rPr>
                <w:rFonts w:ascii="Cambria" w:hAnsi="Cambria"/>
              </w:rPr>
              <w:t xml:space="preserve">Банк - </w:t>
            </w:r>
          </w:p>
        </w:tc>
        <w:tc>
          <w:tcPr>
            <w:tcW w:w="8469" w:type="dxa"/>
            <w:tcBorders>
              <w:top w:val="single" w:sz="4" w:space="0" w:color="000000"/>
              <w:bottom w:val="single" w:sz="4" w:space="0" w:color="000000"/>
            </w:tcBorders>
          </w:tcPr>
          <w:p w14:paraId="5B6C25DA" w14:textId="77777777" w:rsidR="00773297" w:rsidRPr="006626DD" w:rsidRDefault="00773297" w:rsidP="006626DD">
            <w:pPr>
              <w:snapToGrid w:val="0"/>
              <w:ind w:firstLine="567"/>
              <w:jc w:val="both"/>
              <w:rPr>
                <w:rFonts w:ascii="Cambria" w:hAnsi="Cambria"/>
              </w:rPr>
            </w:pPr>
          </w:p>
        </w:tc>
      </w:tr>
      <w:tr w:rsidR="00773297" w:rsidRPr="006626DD" w14:paraId="7604E481" w14:textId="77777777">
        <w:tc>
          <w:tcPr>
            <w:tcW w:w="1668" w:type="dxa"/>
          </w:tcPr>
          <w:p w14:paraId="7797FD0A" w14:textId="77777777" w:rsidR="00773297" w:rsidRPr="006626DD" w:rsidRDefault="00773297" w:rsidP="006626DD">
            <w:pPr>
              <w:snapToGrid w:val="0"/>
              <w:ind w:firstLine="567"/>
              <w:jc w:val="both"/>
              <w:rPr>
                <w:rFonts w:ascii="Cambria" w:hAnsi="Cambria"/>
              </w:rPr>
            </w:pPr>
            <w:r w:rsidRPr="006626DD">
              <w:rPr>
                <w:rFonts w:ascii="Cambria" w:hAnsi="Cambria"/>
              </w:rPr>
              <w:t xml:space="preserve">БИК - </w:t>
            </w:r>
          </w:p>
        </w:tc>
        <w:tc>
          <w:tcPr>
            <w:tcW w:w="8469" w:type="dxa"/>
            <w:tcBorders>
              <w:top w:val="single" w:sz="4" w:space="0" w:color="000000"/>
              <w:bottom w:val="single" w:sz="4" w:space="0" w:color="000000"/>
            </w:tcBorders>
          </w:tcPr>
          <w:p w14:paraId="1CD36CE2" w14:textId="77777777" w:rsidR="00773297" w:rsidRPr="006626DD" w:rsidRDefault="00773297" w:rsidP="006626DD">
            <w:pPr>
              <w:snapToGrid w:val="0"/>
              <w:ind w:firstLine="567"/>
              <w:jc w:val="both"/>
              <w:rPr>
                <w:rFonts w:ascii="Cambria" w:hAnsi="Cambria"/>
              </w:rPr>
            </w:pPr>
          </w:p>
        </w:tc>
      </w:tr>
      <w:tr w:rsidR="00773297" w:rsidRPr="006626DD" w14:paraId="3714BD8A" w14:textId="77777777">
        <w:tc>
          <w:tcPr>
            <w:tcW w:w="1668" w:type="dxa"/>
          </w:tcPr>
          <w:p w14:paraId="34BF10DD" w14:textId="77777777" w:rsidR="00773297" w:rsidRPr="006626DD" w:rsidRDefault="00773297" w:rsidP="006626DD">
            <w:pPr>
              <w:snapToGrid w:val="0"/>
              <w:ind w:firstLine="567"/>
              <w:jc w:val="both"/>
              <w:rPr>
                <w:rFonts w:ascii="Cambria" w:hAnsi="Cambria"/>
              </w:rPr>
            </w:pPr>
            <w:r w:rsidRPr="006626DD">
              <w:rPr>
                <w:rFonts w:ascii="Cambria" w:hAnsi="Cambria"/>
              </w:rPr>
              <w:t xml:space="preserve">Кор. / сч. - </w:t>
            </w:r>
          </w:p>
        </w:tc>
        <w:tc>
          <w:tcPr>
            <w:tcW w:w="8469" w:type="dxa"/>
            <w:tcBorders>
              <w:top w:val="single" w:sz="4" w:space="0" w:color="000000"/>
              <w:bottom w:val="single" w:sz="4" w:space="0" w:color="000000"/>
            </w:tcBorders>
          </w:tcPr>
          <w:p w14:paraId="20F6CC9F" w14:textId="77777777" w:rsidR="00773297" w:rsidRPr="006626DD" w:rsidRDefault="00773297" w:rsidP="006626DD">
            <w:pPr>
              <w:snapToGrid w:val="0"/>
              <w:ind w:firstLine="567"/>
              <w:jc w:val="both"/>
              <w:rPr>
                <w:rFonts w:ascii="Cambria" w:hAnsi="Cambria"/>
              </w:rPr>
            </w:pPr>
          </w:p>
        </w:tc>
      </w:tr>
    </w:tbl>
    <w:p w14:paraId="31B81F71" w14:textId="77777777" w:rsidR="00773297" w:rsidRPr="006626DD" w:rsidRDefault="00773297" w:rsidP="006626DD">
      <w:pPr>
        <w:ind w:firstLine="567"/>
        <w:jc w:val="both"/>
        <w:rPr>
          <w:rFonts w:ascii="Cambria" w:hAnsi="Cambria"/>
        </w:rPr>
      </w:pPr>
    </w:p>
    <w:p w14:paraId="7F9AF063" w14:textId="77777777" w:rsidR="00773297" w:rsidRPr="006626DD" w:rsidRDefault="00773297" w:rsidP="006626DD">
      <w:pPr>
        <w:ind w:firstLine="567"/>
        <w:jc w:val="both"/>
        <w:rPr>
          <w:rFonts w:ascii="Cambria" w:hAnsi="Cambria"/>
          <w:b/>
        </w:rPr>
      </w:pPr>
      <w:r w:rsidRPr="006626DD">
        <w:rPr>
          <w:rFonts w:ascii="Cambria" w:hAnsi="Cambria"/>
          <w:b/>
        </w:rPr>
        <w:t>3. ВОЗВРАТ ДЕНЕЖНЫХ СРЕДСТВ</w:t>
      </w:r>
    </w:p>
    <w:p w14:paraId="76050AF6" w14:textId="77777777" w:rsidR="00773297" w:rsidRPr="006626DD" w:rsidRDefault="00773297" w:rsidP="006626DD">
      <w:pPr>
        <w:ind w:firstLine="567"/>
        <w:jc w:val="both"/>
        <w:rPr>
          <w:rFonts w:ascii="Cambria" w:hAnsi="Cambria"/>
        </w:rPr>
      </w:pPr>
      <w:r w:rsidRPr="006626DD">
        <w:rPr>
          <w:rFonts w:ascii="Cambria" w:hAnsi="Cambria"/>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14:paraId="3A826917" w14:textId="77777777" w:rsidR="00773297" w:rsidRPr="006626DD" w:rsidRDefault="00773297" w:rsidP="006626DD">
      <w:pPr>
        <w:ind w:firstLine="567"/>
        <w:jc w:val="both"/>
        <w:rPr>
          <w:rFonts w:ascii="Cambria" w:hAnsi="Cambria"/>
        </w:rPr>
      </w:pPr>
      <w:r w:rsidRPr="006626DD">
        <w:rPr>
          <w:rFonts w:ascii="Cambria" w:hAnsi="Cambria"/>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14:paraId="38067C96" w14:textId="77777777" w:rsidR="00773297" w:rsidRPr="006626DD" w:rsidRDefault="00773297" w:rsidP="006626DD">
      <w:pPr>
        <w:ind w:firstLine="567"/>
        <w:jc w:val="both"/>
        <w:rPr>
          <w:rFonts w:ascii="Cambria" w:hAnsi="Cambria"/>
        </w:rPr>
      </w:pPr>
      <w:r w:rsidRPr="006626DD">
        <w:rPr>
          <w:rFonts w:ascii="Cambria" w:hAnsi="Cambria"/>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14:paraId="6BE6492D" w14:textId="77777777" w:rsidR="00773297" w:rsidRPr="006626DD" w:rsidRDefault="00773297" w:rsidP="006626DD">
      <w:pPr>
        <w:ind w:firstLine="567"/>
        <w:jc w:val="both"/>
        <w:rPr>
          <w:rFonts w:ascii="Cambria" w:hAnsi="Cambria"/>
        </w:rPr>
      </w:pPr>
      <w:r w:rsidRPr="006626DD">
        <w:rPr>
          <w:rFonts w:ascii="Cambria" w:hAnsi="Cambria"/>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14:paraId="7C923682" w14:textId="77777777" w:rsidR="00773297" w:rsidRDefault="00773297" w:rsidP="006626DD">
      <w:pPr>
        <w:ind w:firstLine="567"/>
        <w:jc w:val="both"/>
        <w:rPr>
          <w:rFonts w:ascii="Cambria" w:hAnsi="Cambria"/>
        </w:rPr>
      </w:pPr>
      <w:r w:rsidRPr="006626DD">
        <w:rPr>
          <w:rFonts w:ascii="Cambria" w:hAnsi="Cambria"/>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14:paraId="1042207A" w14:textId="77777777" w:rsidR="006626DD" w:rsidRPr="006626DD" w:rsidRDefault="006626DD" w:rsidP="006626DD">
      <w:pPr>
        <w:ind w:firstLine="567"/>
        <w:jc w:val="both"/>
        <w:rPr>
          <w:rFonts w:ascii="Cambria" w:hAnsi="Cambria"/>
        </w:rPr>
      </w:pPr>
    </w:p>
    <w:p w14:paraId="53E4968D" w14:textId="77777777" w:rsidR="00773297" w:rsidRPr="006626DD" w:rsidRDefault="00773297" w:rsidP="006626DD">
      <w:pPr>
        <w:ind w:firstLine="567"/>
        <w:jc w:val="both"/>
        <w:rPr>
          <w:rFonts w:ascii="Cambria" w:hAnsi="Cambria"/>
          <w:b/>
        </w:rPr>
      </w:pPr>
      <w:r w:rsidRPr="006626DD">
        <w:rPr>
          <w:rFonts w:ascii="Cambria" w:hAnsi="Cambria"/>
          <w:b/>
        </w:rPr>
        <w:t>4. СРОК ДЕЙСТВИЯ ДОГОВОРА</w:t>
      </w:r>
    </w:p>
    <w:p w14:paraId="03707BD7" w14:textId="77777777" w:rsidR="00773297" w:rsidRPr="006626DD" w:rsidRDefault="00773297" w:rsidP="006626DD">
      <w:pPr>
        <w:ind w:firstLine="567"/>
        <w:jc w:val="both"/>
        <w:rPr>
          <w:rFonts w:ascii="Cambria" w:hAnsi="Cambria"/>
        </w:rPr>
      </w:pPr>
      <w:r w:rsidRPr="006626DD">
        <w:rPr>
          <w:rFonts w:ascii="Cambria" w:hAnsi="Cambri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D4B87B4" w14:textId="77777777" w:rsidR="00773297" w:rsidRPr="006626DD" w:rsidRDefault="00773297" w:rsidP="006626DD">
      <w:pPr>
        <w:ind w:firstLine="567"/>
        <w:jc w:val="both"/>
        <w:rPr>
          <w:rFonts w:ascii="Cambria" w:hAnsi="Cambria"/>
        </w:rPr>
      </w:pPr>
      <w:r w:rsidRPr="006626DD">
        <w:rPr>
          <w:rFonts w:ascii="Cambria" w:hAnsi="Cambria"/>
        </w:rPr>
        <w:t>4.2. Настоящий Договор вступает в силу с момента его подписания Сторонами и прекращает свое действие:</w:t>
      </w:r>
    </w:p>
    <w:p w14:paraId="25A1B865" w14:textId="77777777" w:rsidR="00773297" w:rsidRPr="006626DD" w:rsidRDefault="00773297" w:rsidP="006626DD">
      <w:pPr>
        <w:ind w:firstLine="567"/>
        <w:jc w:val="both"/>
        <w:rPr>
          <w:rFonts w:ascii="Cambria" w:hAnsi="Cambria"/>
        </w:rPr>
      </w:pPr>
      <w:r w:rsidRPr="006626DD">
        <w:rPr>
          <w:rFonts w:ascii="Cambria" w:hAnsi="Cambria"/>
        </w:rPr>
        <w:t>- исполнением Сторонами своих обязательств по настоящему Договору;</w:t>
      </w:r>
    </w:p>
    <w:p w14:paraId="482BB06A" w14:textId="77777777" w:rsidR="00773297" w:rsidRPr="006626DD" w:rsidRDefault="00773297" w:rsidP="006626DD">
      <w:pPr>
        <w:ind w:firstLine="567"/>
        <w:jc w:val="both"/>
        <w:rPr>
          <w:rFonts w:ascii="Cambria" w:hAnsi="Cambria"/>
        </w:rPr>
      </w:pPr>
      <w:r w:rsidRPr="006626DD">
        <w:rPr>
          <w:rFonts w:ascii="Cambria" w:hAnsi="Cambria"/>
        </w:rPr>
        <w:t>- при возврате или не возврате задатка или зачете его в счет оплаты имущества в предусмотренных настоящим Договором случаях;</w:t>
      </w:r>
    </w:p>
    <w:p w14:paraId="4F1BB56A" w14:textId="77777777" w:rsidR="00773297" w:rsidRPr="006626DD" w:rsidRDefault="00773297" w:rsidP="006626DD">
      <w:pPr>
        <w:ind w:firstLine="567"/>
        <w:jc w:val="both"/>
        <w:rPr>
          <w:rFonts w:ascii="Cambria" w:hAnsi="Cambria"/>
        </w:rPr>
      </w:pPr>
      <w:r w:rsidRPr="006626DD">
        <w:rPr>
          <w:rFonts w:ascii="Cambria" w:hAnsi="Cambria"/>
        </w:rPr>
        <w:t>- по иным основаниям, предусмотренным действующим законодательством Российской Федерации.</w:t>
      </w:r>
    </w:p>
    <w:p w14:paraId="750B745A" w14:textId="77777777" w:rsidR="00773297" w:rsidRPr="006626DD" w:rsidRDefault="00773297" w:rsidP="006626DD">
      <w:pPr>
        <w:ind w:firstLine="567"/>
        <w:jc w:val="both"/>
        <w:rPr>
          <w:rFonts w:ascii="Cambria" w:hAnsi="Cambria"/>
        </w:rPr>
      </w:pPr>
      <w:r w:rsidRPr="006626DD">
        <w:rPr>
          <w:rFonts w:ascii="Cambria" w:hAnsi="Cambria"/>
        </w:rPr>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14:paraId="537BA086" w14:textId="77777777" w:rsidR="00773297" w:rsidRPr="006626DD" w:rsidRDefault="00773297" w:rsidP="006626DD">
      <w:pPr>
        <w:ind w:firstLine="567"/>
        <w:jc w:val="both"/>
        <w:rPr>
          <w:rFonts w:ascii="Cambria" w:hAnsi="Cambria"/>
        </w:rPr>
      </w:pPr>
      <w:r w:rsidRPr="006626DD">
        <w:rPr>
          <w:rFonts w:ascii="Cambria" w:hAnsi="Cambria"/>
        </w:rPr>
        <w:tab/>
        <w:t>4.4. Настоящий Договор составлен в двух аутентичных экземплярах, по одному для каждой из Сторон.</w:t>
      </w:r>
    </w:p>
    <w:p w14:paraId="48CA0A06" w14:textId="77777777" w:rsidR="00773297" w:rsidRPr="006626DD" w:rsidRDefault="00773297">
      <w:pPr>
        <w:jc w:val="both"/>
        <w:rPr>
          <w:rFonts w:ascii="Cambria" w:hAnsi="Cambria"/>
        </w:rPr>
      </w:pPr>
    </w:p>
    <w:p w14:paraId="09EF5DC0" w14:textId="77777777" w:rsidR="00773297" w:rsidRPr="006626DD" w:rsidRDefault="00773297" w:rsidP="00674F88">
      <w:pPr>
        <w:jc w:val="both"/>
        <w:rPr>
          <w:rFonts w:ascii="Cambria" w:hAnsi="Cambria"/>
          <w:b/>
        </w:rPr>
      </w:pPr>
      <w:r w:rsidRPr="006626DD">
        <w:rPr>
          <w:rFonts w:ascii="Cambria" w:hAnsi="Cambria"/>
          <w:b/>
        </w:rPr>
        <w:t>5. АДРЕСА, РЕКВИЗИТЫ И ПОДПИСИ СТОРОН</w:t>
      </w:r>
    </w:p>
    <w:p w14:paraId="3EEC52DC" w14:textId="77777777" w:rsidR="00773297" w:rsidRPr="006626DD" w:rsidRDefault="00773297" w:rsidP="00FF2ADF">
      <w:pPr>
        <w:pStyle w:val="a8"/>
        <w:ind w:left="0"/>
        <w:rPr>
          <w:rFonts w:ascii="Cambria" w:hAnsi="Cambria"/>
          <w:b/>
          <w:bCs/>
        </w:rPr>
      </w:pPr>
      <w:r w:rsidRPr="006626DD">
        <w:rPr>
          <w:rFonts w:ascii="Cambria" w:hAnsi="Cambria"/>
          <w:b/>
          <w:bCs/>
        </w:rPr>
        <w:t>Организатор торгов:                                                   Заявитель:</w:t>
      </w:r>
    </w:p>
    <w:tbl>
      <w:tblPr>
        <w:tblW w:w="0" w:type="auto"/>
        <w:tblInd w:w="108" w:type="dxa"/>
        <w:tblLayout w:type="fixed"/>
        <w:tblLook w:val="0000" w:firstRow="0" w:lastRow="0" w:firstColumn="0" w:lastColumn="0" w:noHBand="0" w:noVBand="0"/>
      </w:tblPr>
      <w:tblGrid>
        <w:gridCol w:w="4667"/>
        <w:gridCol w:w="4711"/>
      </w:tblGrid>
      <w:tr w:rsidR="00591159" w:rsidRPr="006626DD" w14:paraId="4E8363BF" w14:textId="77777777" w:rsidTr="004F2988">
        <w:trPr>
          <w:trHeight w:val="2323"/>
        </w:trPr>
        <w:tc>
          <w:tcPr>
            <w:tcW w:w="4667" w:type="dxa"/>
            <w:tcBorders>
              <w:top w:val="single" w:sz="4" w:space="0" w:color="000000"/>
              <w:left w:val="single" w:sz="4" w:space="0" w:color="000000"/>
              <w:bottom w:val="single" w:sz="4" w:space="0" w:color="000000"/>
            </w:tcBorders>
          </w:tcPr>
          <w:p w14:paraId="0B33A009" w14:textId="77777777" w:rsidR="00A64C6B" w:rsidRPr="006626DD" w:rsidRDefault="006626DD" w:rsidP="00FD1E60">
            <w:pPr>
              <w:pStyle w:val="a9"/>
              <w:jc w:val="both"/>
              <w:rPr>
                <w:rFonts w:ascii="Cambria" w:hAnsi="Cambria" w:cs="Times New Roman"/>
                <w:sz w:val="24"/>
                <w:szCs w:val="24"/>
              </w:rPr>
            </w:pPr>
            <w:r>
              <w:rPr>
                <w:rFonts w:ascii="Cambria" w:hAnsi="Cambria" w:cs="Times New Roman"/>
                <w:sz w:val="24"/>
                <w:szCs w:val="24"/>
              </w:rPr>
              <w:lastRenderedPageBreak/>
              <w:t>Конкурсный управляющий ООО «</w:t>
            </w:r>
            <w:r w:rsidR="00FD1E60">
              <w:rPr>
                <w:rFonts w:ascii="Cambria" w:hAnsi="Cambria" w:cs="Times New Roman"/>
                <w:sz w:val="24"/>
                <w:szCs w:val="24"/>
              </w:rPr>
              <w:t>АРТА-РУСЬ</w:t>
            </w:r>
          </w:p>
        </w:tc>
        <w:tc>
          <w:tcPr>
            <w:tcW w:w="4711" w:type="dxa"/>
            <w:tcBorders>
              <w:top w:val="single" w:sz="4" w:space="0" w:color="000000"/>
              <w:left w:val="single" w:sz="4" w:space="0" w:color="000000"/>
              <w:bottom w:val="single" w:sz="4" w:space="0" w:color="000000"/>
              <w:right w:val="single" w:sz="4" w:space="0" w:color="000000"/>
            </w:tcBorders>
          </w:tcPr>
          <w:p w14:paraId="568F3224" w14:textId="77777777" w:rsidR="00591159" w:rsidRPr="006626DD" w:rsidRDefault="00591159" w:rsidP="004F2988">
            <w:pPr>
              <w:pStyle w:val="a9"/>
              <w:snapToGrid w:val="0"/>
              <w:jc w:val="both"/>
              <w:rPr>
                <w:rFonts w:ascii="Cambria" w:hAnsi="Cambria" w:cs="Times New Roman"/>
                <w:sz w:val="24"/>
                <w:szCs w:val="24"/>
              </w:rPr>
            </w:pPr>
          </w:p>
        </w:tc>
      </w:tr>
    </w:tbl>
    <w:p w14:paraId="219679F8" w14:textId="77777777" w:rsidR="00A64C6B" w:rsidRPr="006626DD" w:rsidRDefault="00A64C6B" w:rsidP="00591159">
      <w:pPr>
        <w:pStyle w:val="a9"/>
        <w:jc w:val="both"/>
        <w:rPr>
          <w:rFonts w:ascii="Cambria" w:hAnsi="Cambria" w:cs="Times New Roman"/>
          <w:b/>
          <w:sz w:val="24"/>
          <w:szCs w:val="24"/>
        </w:rPr>
      </w:pPr>
    </w:p>
    <w:p w14:paraId="24D1E1EF" w14:textId="77777777" w:rsidR="00591159" w:rsidRPr="006626DD" w:rsidRDefault="00591159" w:rsidP="00591159">
      <w:pPr>
        <w:pStyle w:val="a9"/>
        <w:jc w:val="both"/>
        <w:rPr>
          <w:rFonts w:ascii="Cambria" w:hAnsi="Cambria" w:cs="Times New Roman"/>
          <w:sz w:val="24"/>
          <w:szCs w:val="24"/>
        </w:rPr>
      </w:pPr>
    </w:p>
    <w:p w14:paraId="22D54234" w14:textId="77777777" w:rsidR="00773297" w:rsidRDefault="00591159" w:rsidP="006F14A9">
      <w:pPr>
        <w:pStyle w:val="a9"/>
        <w:jc w:val="both"/>
        <w:rPr>
          <w:rFonts w:ascii="Cambria" w:hAnsi="Cambria" w:cs="Times New Roman"/>
          <w:b/>
          <w:sz w:val="24"/>
          <w:szCs w:val="24"/>
        </w:rPr>
      </w:pPr>
      <w:r w:rsidRPr="006626DD">
        <w:rPr>
          <w:rFonts w:ascii="Cambria" w:hAnsi="Cambria" w:cs="Times New Roman"/>
          <w:sz w:val="24"/>
          <w:szCs w:val="24"/>
        </w:rPr>
        <w:t xml:space="preserve">        _________________  </w:t>
      </w:r>
      <w:r w:rsidRPr="006626DD">
        <w:rPr>
          <w:rFonts w:ascii="Cambria" w:hAnsi="Cambria" w:cs="Times New Roman"/>
          <w:b/>
          <w:sz w:val="24"/>
          <w:szCs w:val="24"/>
        </w:rPr>
        <w:t>Д.И. Клименко</w:t>
      </w:r>
      <w:r w:rsidRPr="006626DD">
        <w:rPr>
          <w:rFonts w:ascii="Cambria" w:hAnsi="Cambria" w:cs="Times New Roman"/>
          <w:sz w:val="24"/>
          <w:szCs w:val="24"/>
        </w:rPr>
        <w:t xml:space="preserve">                              _________________ </w:t>
      </w:r>
      <w:r w:rsidRPr="006626DD">
        <w:rPr>
          <w:rFonts w:ascii="Cambria" w:hAnsi="Cambria" w:cs="Times New Roman"/>
          <w:b/>
          <w:sz w:val="24"/>
          <w:szCs w:val="24"/>
        </w:rPr>
        <w:t>______________</w:t>
      </w:r>
    </w:p>
    <w:p w14:paraId="6A597717" w14:textId="77777777" w:rsidR="006626DD" w:rsidRPr="006626DD" w:rsidRDefault="006626DD" w:rsidP="006F14A9">
      <w:pPr>
        <w:pStyle w:val="a9"/>
        <w:jc w:val="both"/>
        <w:rPr>
          <w:rFonts w:ascii="Cambria" w:hAnsi="Cambria" w:cs="Times New Roman"/>
          <w:sz w:val="24"/>
          <w:szCs w:val="24"/>
        </w:rPr>
      </w:pPr>
    </w:p>
    <w:sectPr w:rsidR="006626DD" w:rsidRPr="006626DD"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4175055">
    <w:abstractNumId w:val="0"/>
  </w:num>
  <w:num w:numId="2" w16cid:durableId="1789861072">
    <w:abstractNumId w:val="1"/>
  </w:num>
  <w:num w:numId="3" w16cid:durableId="36772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3297"/>
    <w:rsid w:val="00000975"/>
    <w:rsid w:val="00031F52"/>
    <w:rsid w:val="000653FD"/>
    <w:rsid w:val="000C5DE4"/>
    <w:rsid w:val="000D684D"/>
    <w:rsid w:val="00112365"/>
    <w:rsid w:val="001272A7"/>
    <w:rsid w:val="001553BC"/>
    <w:rsid w:val="001A4693"/>
    <w:rsid w:val="001A7AA7"/>
    <w:rsid w:val="001B4E09"/>
    <w:rsid w:val="001B6A43"/>
    <w:rsid w:val="001E330E"/>
    <w:rsid w:val="001E34D4"/>
    <w:rsid w:val="001E503A"/>
    <w:rsid w:val="0024535A"/>
    <w:rsid w:val="00291119"/>
    <w:rsid w:val="002C2560"/>
    <w:rsid w:val="002D17BE"/>
    <w:rsid w:val="002F49C4"/>
    <w:rsid w:val="00302663"/>
    <w:rsid w:val="00311A65"/>
    <w:rsid w:val="003A12A0"/>
    <w:rsid w:val="003D055A"/>
    <w:rsid w:val="003E680B"/>
    <w:rsid w:val="003F6AFC"/>
    <w:rsid w:val="004D3A9F"/>
    <w:rsid w:val="00505154"/>
    <w:rsid w:val="005211A7"/>
    <w:rsid w:val="0052606D"/>
    <w:rsid w:val="00591159"/>
    <w:rsid w:val="005A20D2"/>
    <w:rsid w:val="005C0F2A"/>
    <w:rsid w:val="005D396D"/>
    <w:rsid w:val="005D55FD"/>
    <w:rsid w:val="005F72D5"/>
    <w:rsid w:val="00643CA4"/>
    <w:rsid w:val="006626DD"/>
    <w:rsid w:val="006662CF"/>
    <w:rsid w:val="00674F88"/>
    <w:rsid w:val="006966C2"/>
    <w:rsid w:val="006B2C5F"/>
    <w:rsid w:val="006E3E8F"/>
    <w:rsid w:val="006F14A9"/>
    <w:rsid w:val="0072053C"/>
    <w:rsid w:val="00730AB6"/>
    <w:rsid w:val="00747328"/>
    <w:rsid w:val="007669AD"/>
    <w:rsid w:val="00773297"/>
    <w:rsid w:val="00776CA4"/>
    <w:rsid w:val="00792474"/>
    <w:rsid w:val="007C6459"/>
    <w:rsid w:val="007C76D1"/>
    <w:rsid w:val="007D0EE9"/>
    <w:rsid w:val="0080319A"/>
    <w:rsid w:val="00816122"/>
    <w:rsid w:val="00870240"/>
    <w:rsid w:val="00882993"/>
    <w:rsid w:val="008D011E"/>
    <w:rsid w:val="008E0C00"/>
    <w:rsid w:val="008F2B06"/>
    <w:rsid w:val="008F7918"/>
    <w:rsid w:val="0094445A"/>
    <w:rsid w:val="00953A76"/>
    <w:rsid w:val="009828C2"/>
    <w:rsid w:val="0099542B"/>
    <w:rsid w:val="009D66A5"/>
    <w:rsid w:val="009E4675"/>
    <w:rsid w:val="009E5FC3"/>
    <w:rsid w:val="00A64C6B"/>
    <w:rsid w:val="00AB10A9"/>
    <w:rsid w:val="00AE5BF5"/>
    <w:rsid w:val="00B05507"/>
    <w:rsid w:val="00B111CB"/>
    <w:rsid w:val="00B50CDF"/>
    <w:rsid w:val="00B85BD7"/>
    <w:rsid w:val="00BA16AE"/>
    <w:rsid w:val="00BA4A4D"/>
    <w:rsid w:val="00BD6B91"/>
    <w:rsid w:val="00C94C03"/>
    <w:rsid w:val="00C96893"/>
    <w:rsid w:val="00CA0982"/>
    <w:rsid w:val="00CA6BF0"/>
    <w:rsid w:val="00CB2AA4"/>
    <w:rsid w:val="00CD713D"/>
    <w:rsid w:val="00CE7342"/>
    <w:rsid w:val="00CF58AD"/>
    <w:rsid w:val="00D34508"/>
    <w:rsid w:val="00DC6BCC"/>
    <w:rsid w:val="00DF3504"/>
    <w:rsid w:val="00E04187"/>
    <w:rsid w:val="00E215E3"/>
    <w:rsid w:val="00E44DEE"/>
    <w:rsid w:val="00E7131F"/>
    <w:rsid w:val="00E7691D"/>
    <w:rsid w:val="00E975F1"/>
    <w:rsid w:val="00EF56D3"/>
    <w:rsid w:val="00F04582"/>
    <w:rsid w:val="00F26DF9"/>
    <w:rsid w:val="00F35E2F"/>
    <w:rsid w:val="00F82275"/>
    <w:rsid w:val="00F83581"/>
    <w:rsid w:val="00F95957"/>
    <w:rsid w:val="00FB4713"/>
    <w:rsid w:val="00FD1E60"/>
    <w:rsid w:val="00FD6110"/>
    <w:rsid w:val="00FD70AA"/>
    <w:rsid w:val="00FE4713"/>
    <w:rsid w:val="00FE75B9"/>
    <w:rsid w:val="00FF2A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DF182C"/>
  <w15:docId w15:val="{987F0298-E5D7-4759-A84F-71BFC278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3BC"/>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1553BC"/>
  </w:style>
  <w:style w:type="character" w:customStyle="1" w:styleId="1">
    <w:name w:val="Основной шрифт абзаца1"/>
    <w:rsid w:val="001553BC"/>
  </w:style>
  <w:style w:type="paragraph" w:customStyle="1" w:styleId="10">
    <w:name w:val="Заголовок1"/>
    <w:basedOn w:val="a"/>
    <w:next w:val="a3"/>
    <w:rsid w:val="001553BC"/>
    <w:pPr>
      <w:keepNext/>
      <w:spacing w:before="240" w:after="120"/>
    </w:pPr>
    <w:rPr>
      <w:rFonts w:ascii="Arial" w:eastAsia="Lucida Sans Unicode" w:hAnsi="Arial" w:cs="Mangal"/>
      <w:sz w:val="28"/>
      <w:szCs w:val="28"/>
    </w:rPr>
  </w:style>
  <w:style w:type="paragraph" w:styleId="a3">
    <w:name w:val="Body Text"/>
    <w:basedOn w:val="a"/>
    <w:rsid w:val="001553BC"/>
    <w:pPr>
      <w:jc w:val="both"/>
    </w:pPr>
  </w:style>
  <w:style w:type="paragraph" w:styleId="a4">
    <w:name w:val="List"/>
    <w:basedOn w:val="a3"/>
    <w:rsid w:val="001553BC"/>
    <w:rPr>
      <w:rFonts w:ascii="Arial" w:hAnsi="Arial" w:cs="Mangal"/>
    </w:rPr>
  </w:style>
  <w:style w:type="paragraph" w:customStyle="1" w:styleId="20">
    <w:name w:val="Название2"/>
    <w:basedOn w:val="a"/>
    <w:rsid w:val="001553BC"/>
    <w:pPr>
      <w:suppressLineNumbers/>
      <w:spacing w:before="120" w:after="120"/>
    </w:pPr>
    <w:rPr>
      <w:rFonts w:ascii="Arial" w:hAnsi="Arial" w:cs="Mangal"/>
      <w:i/>
      <w:iCs/>
      <w:sz w:val="20"/>
    </w:rPr>
  </w:style>
  <w:style w:type="paragraph" w:customStyle="1" w:styleId="21">
    <w:name w:val="Указатель2"/>
    <w:basedOn w:val="a"/>
    <w:rsid w:val="001553BC"/>
    <w:pPr>
      <w:suppressLineNumbers/>
    </w:pPr>
    <w:rPr>
      <w:rFonts w:ascii="Arial" w:hAnsi="Arial" w:cs="Mangal"/>
    </w:rPr>
  </w:style>
  <w:style w:type="paragraph" w:customStyle="1" w:styleId="11">
    <w:name w:val="Название1"/>
    <w:basedOn w:val="a"/>
    <w:rsid w:val="001553BC"/>
    <w:pPr>
      <w:suppressLineNumbers/>
      <w:spacing w:before="120" w:after="120"/>
    </w:pPr>
    <w:rPr>
      <w:rFonts w:ascii="Arial" w:hAnsi="Arial" w:cs="Mangal"/>
      <w:i/>
      <w:iCs/>
      <w:sz w:val="20"/>
    </w:rPr>
  </w:style>
  <w:style w:type="paragraph" w:customStyle="1" w:styleId="12">
    <w:name w:val="Указатель1"/>
    <w:basedOn w:val="a"/>
    <w:rsid w:val="001553BC"/>
    <w:pPr>
      <w:suppressLineNumbers/>
    </w:pPr>
    <w:rPr>
      <w:rFonts w:ascii="Arial" w:hAnsi="Arial" w:cs="Mangal"/>
    </w:rPr>
  </w:style>
  <w:style w:type="paragraph" w:styleId="a5">
    <w:name w:val="Balloon Text"/>
    <w:basedOn w:val="a"/>
    <w:rsid w:val="001553BC"/>
    <w:rPr>
      <w:rFonts w:ascii="Tahoma" w:hAnsi="Tahoma" w:cs="Tahoma"/>
      <w:sz w:val="16"/>
      <w:szCs w:val="16"/>
    </w:rPr>
  </w:style>
  <w:style w:type="paragraph" w:customStyle="1" w:styleId="ConsPlusNonformat">
    <w:name w:val="ConsPlusNonformat"/>
    <w:rsid w:val="001553BC"/>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rsid w:val="001553BC"/>
    <w:pPr>
      <w:suppressLineNumbers/>
    </w:pPr>
  </w:style>
  <w:style w:type="paragraph" w:customStyle="1" w:styleId="a7">
    <w:name w:val="Заголовок таблицы"/>
    <w:basedOn w:val="a6"/>
    <w:rsid w:val="001553BC"/>
    <w:pPr>
      <w:jc w:val="center"/>
    </w:pPr>
    <w:rPr>
      <w:b/>
      <w:bCs/>
    </w:rPr>
  </w:style>
  <w:style w:type="paragraph" w:styleId="a8">
    <w:name w:val="List Paragraph"/>
    <w:basedOn w:val="a"/>
    <w:uiPriority w:val="34"/>
    <w:qFormat/>
    <w:rsid w:val="001553BC"/>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9">
    <w:name w:val="No Spacing"/>
    <w:link w:val="aa"/>
    <w:uiPriority w:val="1"/>
    <w:qFormat/>
    <w:rsid w:val="00591159"/>
    <w:pPr>
      <w:suppressAutoHyphens/>
    </w:pPr>
    <w:rPr>
      <w:rFonts w:ascii="Calibri" w:eastAsia="Arial" w:hAnsi="Calibri" w:cs="Calibri"/>
      <w:sz w:val="22"/>
      <w:szCs w:val="22"/>
      <w:lang w:eastAsia="ar-SA"/>
    </w:rPr>
  </w:style>
  <w:style w:type="paragraph" w:styleId="22">
    <w:name w:val="Body Text Indent 2"/>
    <w:basedOn w:val="a"/>
    <w:link w:val="23"/>
    <w:uiPriority w:val="99"/>
    <w:semiHidden/>
    <w:unhideWhenUsed/>
    <w:rsid w:val="008E0C00"/>
    <w:pPr>
      <w:spacing w:after="120" w:line="480" w:lineRule="auto"/>
      <w:ind w:left="283"/>
    </w:pPr>
  </w:style>
  <w:style w:type="character" w:customStyle="1" w:styleId="23">
    <w:name w:val="Основной текст с отступом 2 Знак"/>
    <w:basedOn w:val="a0"/>
    <w:link w:val="22"/>
    <w:uiPriority w:val="99"/>
    <w:semiHidden/>
    <w:rsid w:val="008E0C00"/>
    <w:rPr>
      <w:sz w:val="24"/>
      <w:szCs w:val="24"/>
      <w:lang w:eastAsia="ar-SA"/>
    </w:rPr>
  </w:style>
  <w:style w:type="character" w:customStyle="1" w:styleId="paragraph">
    <w:name w:val="paragraph"/>
    <w:basedOn w:val="a0"/>
    <w:rsid w:val="0080319A"/>
  </w:style>
  <w:style w:type="character" w:customStyle="1" w:styleId="Normal10">
    <w:name w:val="Normal10"/>
    <w:rsid w:val="0080319A"/>
  </w:style>
  <w:style w:type="character" w:customStyle="1" w:styleId="aa">
    <w:name w:val="Без интервала Знак"/>
    <w:link w:val="a9"/>
    <w:uiPriority w:val="1"/>
    <w:rsid w:val="00B05507"/>
    <w:rPr>
      <w:rFonts w:ascii="Calibri" w:eastAsia="Arial"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FC174-1235-4252-A58B-A63F633D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2</cp:lastModifiedBy>
  <cp:revision>38</cp:revision>
  <cp:lastPrinted>2010-09-29T15:55:00Z</cp:lastPrinted>
  <dcterms:created xsi:type="dcterms:W3CDTF">2015-07-14T07:06:00Z</dcterms:created>
  <dcterms:modified xsi:type="dcterms:W3CDTF">2026-06-04T13:56:00Z</dcterms:modified>
</cp:coreProperties>
</file>