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Style0"/>
        <w:tblW w:w="103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4"/>
        <w:gridCol w:w="945"/>
        <w:gridCol w:w="945"/>
        <w:gridCol w:w="945"/>
        <w:gridCol w:w="945"/>
        <w:gridCol w:w="948"/>
        <w:gridCol w:w="945"/>
        <w:gridCol w:w="945"/>
        <w:gridCol w:w="945"/>
        <w:gridCol w:w="947"/>
        <w:gridCol w:w="939"/>
      </w:tblGrid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trHeight w:val="2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trHeight w:val="270" w:hRule="atLeast"/>
          <w:cantSplit w:val="true"/>
        </w:trPr>
        <w:tc>
          <w:tcPr>
            <w:tcW w:w="9454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Мы, нижеподписавшиеся: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Гражданин РФ, в лице Гражданина РФ Финансового управляющего, действующего на основании решения Арбитражного суда по делу №, именуемый в дальнейшем «Цедент», с одной стороны, и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1.1. В соответствии с Протоколом №  от по продаже имущества,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Право требования, а Цессионарий: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уплачивает Цеденту плату за уступку прав требования;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принимает имущество;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соблюдает иные условия, предусмотренные Договором.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1.2. Права Цедента подтверждены: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параметр “Основания возникновения права требования”.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1.3. Цедент подтверждает, что он обладает всеми правами, необходимыми для совершения сделки и передачи Цессионарию прав на имущество.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>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на сайте, и указана в Протоколе  от является окончательной и изменению не подлежит.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>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десяти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дней с даты подписания настоящего договора.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trHeight w:val="67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trHeight w:val="51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 Цессионарий обязан:</w:t>
            </w:r>
          </w:p>
        </w:tc>
      </w:tr>
      <w:tr>
        <w:trPr>
          <w:trHeight w:val="52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4.1.2. После подписания акта приема-передачи взять на себя ответственность за Имущество.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4.1.3. Самостоятельно и за собственный счет оформить права на Имущество.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4.2. Цедент обязан:</w:t>
            </w:r>
          </w:p>
        </w:tc>
      </w:tr>
      <w:tr>
        <w:trPr>
          <w:trHeight w:val="54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</w:t>
            </w:r>
          </w:p>
        </w:tc>
      </w:tr>
      <w:tr>
        <w:trPr>
          <w:trHeight w:val="51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Обязанность по передаче Имущества Цессионарию считается исполненной в момент предоставления Имущества в распоряжение Цессионария.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trHeight w:val="55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trHeight w:val="94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</w:t>
            </w:r>
          </w:p>
        </w:tc>
      </w:tr>
      <w:tr>
        <w:trPr>
          <w:trHeight w:val="54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trHeight w:val="70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trHeight w:val="5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trHeight w:val="31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исполнением Сторонами своих обязательств по настоящему Договору;</w:t>
            </w:r>
          </w:p>
        </w:tc>
      </w:tr>
      <w:tr>
        <w:trPr>
          <w:trHeight w:val="2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расторжением настоящего Договора;</w:t>
            </w:r>
          </w:p>
        </w:tc>
      </w:tr>
      <w:tr>
        <w:trPr>
          <w:trHeight w:val="2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trHeight w:val="5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trHeight w:val="30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6.4. Все уведомления и сообщения должны направляться в письменной форме.</w:t>
            </w:r>
          </w:p>
        </w:tc>
      </w:tr>
      <w:tr>
        <w:trPr>
          <w:trHeight w:val="55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atLeast"/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trHeight w:val="285" w:hRule="atLeast"/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3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8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</w:tbl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LibreOffice/7.1.5.2$Windows_X86_64 LibreOffice_project/85f04e9f809797b8199d13c421bd8a2b025d52b5</Application>
  <AppVersion>15.0000</AppVersion>
  <Pages>2</Pages>
  <Words>691</Words>
  <Characters>4642</Characters>
  <CharactersWithSpaces>5700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2026-04-23T09:25:11Z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