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firstLine="0"/>
        <w:spacing w:before="0" w:after="0" w:line="240" w:lineRule="auto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Договор о задатке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000" w:type="dxa"/>
        <w:gridCol w:w="810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0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г. Москва</w:t>
            </w:r>
          </w:p>
        </w:tc>
        <w:tc>
          <w:tcPr>
            <w:tcW w:w="81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righ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 __________ ____ г.</w:t>
            </w:r>
          </w:p>
        </w:tc>
      </w:tr>
    </w:tbl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425"/>
        <w:spacing w:before="0" w:after="0" w:line="260" w:lineRule="auto"/>
      </w:pPr>
      <w: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  <w:t xml:space="preserve">Конкурсный управляющий ООО "КОРС" Петров Павел Иванович, именуемый в дальнейшем «Организатор торгов», действующий на основании определения Арбитражного суда Московской области от 27.07.2025 г. по делу №А41-57707/2021, с одной стороны, и ________, именуемое (-ый, -ая) далее «Претендент», с другой стороны, вместе именуемые «Стороны», заключили настоящий договор о нижеследующем: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Предмет договора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подтверждении своего намерения принять участие в открытых торгов в форме публичного предложения по продаже имущества ООО "КОРС" по лоту (лотам) № ______ включающему в себя следующее имущество: ______________, проводимых в порядке и на условиях, указанных в извещении о проведении торгов (далее - Извещение), Претендент в соответствии с п. 4 ст. 448 ГК РФ и Положением о порядке, сроках и условиях продажи имущества должника ООО "КОРС", вносит в качестве обеспечения оплаты приобретаемого на торгах имущества задаток, а Организатор торгов обязуется принять данный задаток.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вносится в сумме ______________ руб., что составляет 10% от стоимости имуществе действующего на этапе публичного предложения (цена на этапе публичного предложения - ______________ руб.).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Сумма задатка вносится в счет обеспечения обязательств Претендента, связанных с участием в торгах по продаже имущества, указанного в пункте 1.1 настоящего договора, в том числе по оплате приобретенного имущества, в случае признания Претендента победителем торгов на условиях Предложений о порядке, сроках и условиях продажи имущества, Заявки на участие в торгах, поданной Претендентом.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признания Претендента Победителем торгов сумма задатка засчитывается в счет оплаты приобретенного на торгах имущества.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Порядок внесения задатка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должен быть внесен Претендентом в срок обеспечивающий его поступление до окончания этапа публичного предложения.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Реквизиты для оплаты задатка: получатель платежа: ООО "КОРС", ИНН: 5001106841, КПП: 500101001, р/с 40702810424220000859 в ФИЛИАЛ ПАО "БАНК УРАЛСИБ" В Г. ЕКАТЕРИНБУРГ, БИК: 046577446.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 денежные средства, переданные в соответствии с настоящим договором, проценты не начисляются.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Порядок возврата и удержания задатка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Претенденту от участия в Торгах.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Непризнания Участника торгов Победителем торгов.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Отзыва Претендентом заявки на участие в торгах, до момента приобретения им статуса участника торгов.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не возвращается в случае: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Претенденту от участия в Торгах.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или уклонения Победителя торгов от подписания Протокола о ходе и результатах торгов.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или уклонения Победителя торгов от подписания Договора купли-продажи имущества, выставленного на Торги.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Неоплаты Победителем торгов имущества в установленный Договором купли-продажи срок.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Иные условия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Споры, возникшие в результате действия настоящего договора, разрешаются в установленном порядке в Арбитражном суде Московской области.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Настоящий Договор составлен в 2 (двух) экземплярах, имеющих одинаковую юридическую силу, по одному для каждой из Сторон.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Реквизиты и подписи Сторон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550" w:type="dxa"/>
        <w:gridCol w:w="755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  <w:u w:val="single"/>
              </w:rPr>
              <w:t xml:space="preserve">Организатор торгов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ООО "КОРС"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ОГРН: 1165001050213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ИНН: 5001106841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Адрес: 143921, Московская область, г. Балашиха, д. Черное, ул. Проектная, д. 71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р/с 40702810424220000859 в ФИЛИАЛ ПАО "БАНК УРАЛСИБ" В Г. ЕКАТЕРИНБУРГ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БИК: 046577446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к/с: 30101810165770000446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Покупатель</w:t>
            </w:r>
          </w:p>
        </w:tc>
      </w:t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П.И. Петров /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 /</w:t>
            </w:r>
          </w:p>
        </w:tc>
      </w:tr>
    </w:tbl>
    <w:sectPr>
      <w:pgSz w:orient="portrait" w:w="11905.511811023622" w:h="16837.79527559055"/>
      <w:pgMar w:top="1135" w:right="850" w:bottom="1135" w:left="17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C146D"/>
    <w:multiLevelType w:val="multilevel"/>
    <w:lvl w:ilvl="0">
      <w:start w:val="1"/>
      <w:numFmt w:val="decimal"/>
      <w:suff w:val="tab"/>
      <w:lvlText w:val="%1."/>
      <w:pPr>
        <w:tabs>
          <w:tab w:val="num" w:pos="285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960"/>
        </w:tabs>
        <w:ind w:left="0" w:hanging="-43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1135"/>
        </w:tabs>
        <w:ind w:left="0" w:hanging="-43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2026-06-06T07:32:44+00:00</dcterms:created>
  <dcterms:modified xsi:type="dcterms:W3CDTF">2026-06-06T07:32:44+00:00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