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048C8" w14:textId="77777777" w:rsidR="00EE2383" w:rsidRPr="006E3CC9" w:rsidRDefault="00EE2383" w:rsidP="006A0D3E">
      <w:pPr>
        <w:pStyle w:val="1"/>
        <w:ind w:left="720" w:hanging="720"/>
        <w:jc w:val="center"/>
        <w:rPr>
          <w:b/>
        </w:rPr>
      </w:pPr>
      <w:r w:rsidRPr="006E3CC9">
        <w:rPr>
          <w:b/>
        </w:rPr>
        <w:t>Положение</w:t>
      </w:r>
    </w:p>
    <w:p w14:paraId="2A050224" w14:textId="77777777" w:rsidR="00EE2383" w:rsidRPr="006E3CC9" w:rsidRDefault="00EE2383" w:rsidP="006A0D3E">
      <w:pPr>
        <w:pStyle w:val="1"/>
        <w:jc w:val="center"/>
        <w:rPr>
          <w:b/>
          <w:noProof/>
        </w:rPr>
      </w:pPr>
      <w:r w:rsidRPr="006E3CC9">
        <w:rPr>
          <w:b/>
        </w:rPr>
        <w:t xml:space="preserve">о порядке, об условиях и о сроках реализации имущества </w:t>
      </w:r>
    </w:p>
    <w:p w14:paraId="1D2FDE9F" w14:textId="7BB216C2" w:rsidR="00CC5712" w:rsidRPr="006E3CC9" w:rsidRDefault="00325341" w:rsidP="006A0D3E">
      <w:pPr>
        <w:pStyle w:val="1"/>
        <w:jc w:val="center"/>
        <w:rPr>
          <w:b/>
          <w:lang w:val="en-US"/>
        </w:rPr>
      </w:pPr>
      <w:r w:rsidRPr="006E3CC9">
        <w:rPr>
          <w:b/>
        </w:rPr>
        <w:t>Должник</w:t>
      </w:r>
      <w:r w:rsidRPr="006E3CC9">
        <w:rPr>
          <w:b/>
          <w:lang w:val="en-US"/>
        </w:rPr>
        <w:t xml:space="preserve">: </w:t>
      </w:r>
      <w:proofErr w:type="spellStart"/>
      <w:r w:rsidR="000374C2">
        <w:rPr>
          <w:rFonts w:eastAsia="Calibri"/>
          <w:b/>
          <w:sz w:val="22"/>
          <w:szCs w:val="22"/>
          <w:lang w:eastAsia="en-US"/>
        </w:rPr>
        <w:t>Сопыряев</w:t>
      </w:r>
      <w:proofErr w:type="spellEnd"/>
      <w:r w:rsidR="000374C2">
        <w:rPr>
          <w:rFonts w:eastAsia="Calibri"/>
          <w:b/>
          <w:sz w:val="22"/>
          <w:szCs w:val="22"/>
          <w:lang w:eastAsia="en-US"/>
        </w:rPr>
        <w:t xml:space="preserve"> Виктор Викторович</w:t>
      </w:r>
    </w:p>
    <w:p w14:paraId="18160452" w14:textId="77777777" w:rsidR="00F378A0" w:rsidRPr="006E3CC9" w:rsidRDefault="00F378A0" w:rsidP="00F378A0">
      <w:pPr>
        <w:pStyle w:val="1"/>
        <w:rPr>
          <w:b/>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1512"/>
        <w:gridCol w:w="13148"/>
      </w:tblGrid>
      <w:tr w:rsidR="00CC5712" w:rsidRPr="006E3CC9" w14:paraId="70BD4116" w14:textId="77777777" w:rsidTr="00F378A0">
        <w:trPr>
          <w:jc w:val="center"/>
        </w:trPr>
        <w:tc>
          <w:tcPr>
            <w:tcW w:w="154" w:type="pct"/>
          </w:tcPr>
          <w:p w14:paraId="507C2E70" w14:textId="77777777" w:rsidR="00CC5712" w:rsidRPr="006E3CC9" w:rsidRDefault="00CC5712" w:rsidP="006A0D3E">
            <w:pPr>
              <w:jc w:val="center"/>
            </w:pPr>
            <w:r w:rsidRPr="006E3CC9">
              <w:t>1.</w:t>
            </w:r>
          </w:p>
        </w:tc>
        <w:tc>
          <w:tcPr>
            <w:tcW w:w="500" w:type="pct"/>
          </w:tcPr>
          <w:p w14:paraId="470E4CC3" w14:textId="77777777" w:rsidR="00CC5712" w:rsidRPr="006E3CC9" w:rsidRDefault="006C5FDE" w:rsidP="006A0D3E">
            <w:r w:rsidRPr="006E3CC9">
              <w:t>Сведения об имуществе и порядке ознакомления с ним</w:t>
            </w:r>
          </w:p>
        </w:tc>
        <w:tc>
          <w:tcPr>
            <w:tcW w:w="4345" w:type="pct"/>
          </w:tcPr>
          <w:tbl>
            <w:tblPr>
              <w:tblpPr w:leftFromText="180" w:rightFromText="180" w:horzAnchor="margin" w:tblpY="345"/>
              <w:tblOverlap w:val="neve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621"/>
              <w:gridCol w:w="3585"/>
            </w:tblGrid>
            <w:tr w:rsidR="00BB401D" w:rsidRPr="006E3CC9" w14:paraId="5464D0FB" w14:textId="77777777" w:rsidTr="00BD7888">
              <w:tc>
                <w:tcPr>
                  <w:tcW w:w="2206" w:type="pct"/>
                  <w:tcBorders>
                    <w:bottom w:val="single" w:sz="4" w:space="0" w:color="auto"/>
                  </w:tcBorders>
                </w:tcPr>
                <w:p w14:paraId="0AA3B906" w14:textId="77777777" w:rsidR="00BB401D" w:rsidRPr="006E3CC9" w:rsidRDefault="00BB401D" w:rsidP="006A0D3E">
                  <w:pPr>
                    <w:jc w:val="center"/>
                  </w:pPr>
                  <w:r w:rsidRPr="006E3CC9">
                    <w:t>Описание, характеристика имущества</w:t>
                  </w:r>
                </w:p>
              </w:tc>
              <w:tc>
                <w:tcPr>
                  <w:tcW w:w="1404" w:type="pct"/>
                </w:tcPr>
                <w:p w14:paraId="45FDC909" w14:textId="2BE1A93A" w:rsidR="00BB401D" w:rsidRPr="006E3CC9" w:rsidRDefault="00BB401D" w:rsidP="006A0D3E">
                  <w:pPr>
                    <w:jc w:val="center"/>
                  </w:pPr>
                  <w:r w:rsidRPr="006E3CC9">
                    <w:t>Количество</w:t>
                  </w:r>
                  <w:r w:rsidR="00217405" w:rsidRPr="006E3CC9">
                    <w:t>, шт.</w:t>
                  </w:r>
                </w:p>
              </w:tc>
              <w:tc>
                <w:tcPr>
                  <w:tcW w:w="1390" w:type="pct"/>
                </w:tcPr>
                <w:p w14:paraId="34163E67" w14:textId="77777777" w:rsidR="00BB401D" w:rsidRPr="006E3CC9" w:rsidRDefault="00BB401D" w:rsidP="006A0D3E">
                  <w:pPr>
                    <w:jc w:val="center"/>
                  </w:pPr>
                  <w:r w:rsidRPr="006E3CC9">
                    <w:t>Начальная цена, руб.</w:t>
                  </w:r>
                </w:p>
              </w:tc>
            </w:tr>
            <w:tr w:rsidR="00550EFA" w:rsidRPr="006E3CC9" w14:paraId="7D1B35BC" w14:textId="77777777" w:rsidTr="002144B7">
              <w:trPr>
                <w:trHeight w:val="1842"/>
              </w:trPr>
              <w:tc>
                <w:tcPr>
                  <w:tcW w:w="2206" w:type="pct"/>
                </w:tcPr>
                <w:p w14:paraId="01C395BD" w14:textId="39FC3EBC" w:rsidR="00550EFA" w:rsidRPr="000374C2" w:rsidRDefault="002144B7" w:rsidP="000374C2">
                  <w:pPr>
                    <w:tabs>
                      <w:tab w:val="left" w:pos="567"/>
                    </w:tabs>
                    <w:rPr>
                      <w:b/>
                      <w:bCs/>
                    </w:rPr>
                  </w:pPr>
                  <w:r w:rsidRPr="006E3CC9">
                    <w:rPr>
                      <w:b/>
                      <w:bCs/>
                    </w:rPr>
                    <w:t>ОРУЖИЕ</w:t>
                  </w:r>
                  <w:r w:rsidR="00550EFA" w:rsidRPr="006E3CC9">
                    <w:rPr>
                      <w:b/>
                      <w:bCs/>
                    </w:rPr>
                    <w:t>:</w:t>
                  </w:r>
                  <w:r w:rsidR="00AD5D15" w:rsidRPr="006E3CC9">
                    <w:rPr>
                      <w:bCs/>
                      <w:color w:val="000000"/>
                    </w:rPr>
                    <w:br/>
                    <w:t>Вид: Огнестрельное оружие</w:t>
                  </w:r>
                  <w:r w:rsidR="000374C2">
                    <w:rPr>
                      <w:bCs/>
                      <w:color w:val="000000"/>
                    </w:rPr>
                    <w:t xml:space="preserve"> </w:t>
                  </w:r>
                  <w:r w:rsidR="00AD5D15" w:rsidRPr="006E3CC9">
                    <w:rPr>
                      <w:bCs/>
                      <w:color w:val="000000"/>
                    </w:rPr>
                    <w:t>«ТОЗ-54», кал. 12</w:t>
                  </w:r>
                  <w:r w:rsidR="00AD5D15" w:rsidRPr="006E3CC9">
                    <w:rPr>
                      <w:bCs/>
                      <w:color w:val="000000"/>
                    </w:rPr>
                    <w:br/>
                    <w:t>Модель:</w:t>
                  </w:r>
                  <w:r w:rsidR="000374C2">
                    <w:rPr>
                      <w:bCs/>
                      <w:color w:val="000000"/>
                    </w:rPr>
                    <w:t xml:space="preserve"> </w:t>
                  </w:r>
                  <w:r w:rsidR="00AD5D15" w:rsidRPr="006E3CC9">
                    <w:rPr>
                      <w:bCs/>
                      <w:color w:val="000000"/>
                    </w:rPr>
                    <w:t>«ТОЗ-54»</w:t>
                  </w:r>
                  <w:r w:rsidR="00AD5D15" w:rsidRPr="006E3CC9">
                    <w:rPr>
                      <w:bCs/>
                      <w:color w:val="000000"/>
                    </w:rPr>
                    <w:br/>
                    <w:t>Серия:</w:t>
                  </w:r>
                  <w:r w:rsidR="000374C2">
                    <w:rPr>
                      <w:bCs/>
                      <w:color w:val="000000"/>
                    </w:rPr>
                    <w:t xml:space="preserve"> </w:t>
                  </w:r>
                  <w:r w:rsidR="000374C2" w:rsidRPr="000374C2">
                    <w:rPr>
                      <w:bCs/>
                      <w:color w:val="000000"/>
                    </w:rPr>
                    <w:t>ШИ№2903</w:t>
                  </w:r>
                  <w:r w:rsidR="00AD5D15" w:rsidRPr="006E3CC9">
                    <w:rPr>
                      <w:bCs/>
                      <w:color w:val="000000"/>
                    </w:rPr>
                    <w:br/>
                  </w:r>
                </w:p>
                <w:p w14:paraId="62EC7535" w14:textId="0F9C78CA" w:rsidR="00550EFA" w:rsidRPr="000374C2" w:rsidRDefault="00893D7F" w:rsidP="000374C2">
                  <w:pPr>
                    <w:rPr>
                      <w:b/>
                      <w:bCs/>
                    </w:rPr>
                  </w:pPr>
                  <w:r w:rsidRPr="006E3CC9">
                    <w:rPr>
                      <w:b/>
                      <w:bCs/>
                    </w:rPr>
                    <w:t>Ознакомление с имуществом производится по адресу его хранение -</w:t>
                  </w:r>
                  <w:r w:rsidR="000374C2">
                    <w:rPr>
                      <w:b/>
                      <w:bCs/>
                    </w:rPr>
                    <w:t xml:space="preserve"> </w:t>
                  </w:r>
                  <w:r w:rsidR="000374C2" w:rsidRPr="000374C2">
                    <w:t>Томская область, Колпашевский район, д.</w:t>
                  </w:r>
                  <w:r w:rsidR="000374C2" w:rsidRPr="000374C2">
                    <w:t xml:space="preserve"> </w:t>
                  </w:r>
                  <w:r w:rsidR="000374C2" w:rsidRPr="000374C2">
                    <w:t xml:space="preserve">Пасека, ул. </w:t>
                  </w:r>
                  <w:proofErr w:type="gramStart"/>
                  <w:r w:rsidR="000374C2" w:rsidRPr="000374C2">
                    <w:t xml:space="preserve">Сибирская, </w:t>
                  </w:r>
                  <w:r w:rsidR="000374C2" w:rsidRPr="000374C2">
                    <w:t xml:space="preserve"> </w:t>
                  </w:r>
                  <w:r w:rsidR="000374C2" w:rsidRPr="000374C2">
                    <w:t>д.</w:t>
                  </w:r>
                  <w:proofErr w:type="gramEnd"/>
                  <w:r w:rsidR="000374C2" w:rsidRPr="000374C2">
                    <w:t xml:space="preserve"> 42, кв. 1</w:t>
                  </w:r>
                </w:p>
              </w:tc>
              <w:tc>
                <w:tcPr>
                  <w:tcW w:w="1404" w:type="pct"/>
                  <w:vAlign w:val="center"/>
                </w:tcPr>
                <w:p w14:paraId="24595191" w14:textId="30DA0E2A" w:rsidR="00550EFA" w:rsidRPr="006E3CC9" w:rsidRDefault="000271F5" w:rsidP="00550EFA">
                  <w:pPr>
                    <w:jc w:val="center"/>
                    <w:rPr>
                      <w:bCs/>
                      <w:color w:val="000000"/>
                    </w:rPr>
                  </w:pPr>
                  <w:r w:rsidRPr="006E3CC9">
                    <w:rPr>
                      <w:bCs/>
                      <w:color w:val="000000"/>
                    </w:rPr>
                    <w:t>1</w:t>
                  </w:r>
                </w:p>
              </w:tc>
              <w:tc>
                <w:tcPr>
                  <w:tcW w:w="1390" w:type="pct"/>
                  <w:vAlign w:val="center"/>
                </w:tcPr>
                <w:p w14:paraId="119ADCF4" w14:textId="38B70151" w:rsidR="00550EFA" w:rsidRPr="006E3CC9" w:rsidRDefault="0081179E" w:rsidP="000374C2">
                  <w:pPr>
                    <w:jc w:val="center"/>
                    <w:rPr>
                      <w:color w:val="000000"/>
                    </w:rPr>
                  </w:pPr>
                  <w:r w:rsidRPr="006E3CC9">
                    <w:rPr>
                      <w:color w:val="000000"/>
                    </w:rPr>
                    <w:t>29</w:t>
                  </w:r>
                  <w:r w:rsidR="000374C2">
                    <w:rPr>
                      <w:color w:val="000000"/>
                    </w:rPr>
                    <w:t> 400 руб.</w:t>
                  </w:r>
                </w:p>
              </w:tc>
            </w:tr>
          </w:tbl>
          <w:p w14:paraId="7D7CFCEA" w14:textId="77777777" w:rsidR="00B571E8" w:rsidRPr="006E3CC9" w:rsidRDefault="00B571E8" w:rsidP="006A0D3E">
            <w:pPr>
              <w:jc w:val="both"/>
            </w:pPr>
          </w:p>
          <w:p w14:paraId="0423997B" w14:textId="77777777" w:rsidR="000D0309" w:rsidRPr="006E3CC9" w:rsidRDefault="000D0309" w:rsidP="00A0594A">
            <w:pPr>
              <w:jc w:val="both"/>
            </w:pPr>
          </w:p>
          <w:p w14:paraId="3EFFA72D" w14:textId="50B48029" w:rsidR="00CC5712" w:rsidRPr="006E3CC9" w:rsidRDefault="000D0309" w:rsidP="00A0594A">
            <w:pPr>
              <w:jc w:val="both"/>
            </w:pPr>
            <w:r w:rsidRPr="006E3CC9">
              <w:t xml:space="preserve">ОБЩАЯ ИНФОРМАЦИЯ: </w:t>
            </w:r>
            <w:r w:rsidR="006C5FDE" w:rsidRPr="006E3CC9">
              <w:t xml:space="preserve">Ознакомление с имуществом производится </w:t>
            </w:r>
            <w:r w:rsidR="00EE2383" w:rsidRPr="006E3CC9">
              <w:t xml:space="preserve">с момента публикации сообщения о продаже имущества и до окончания приема заявок по предварительной записи по телефону: </w:t>
            </w:r>
            <w:r w:rsidR="000374C2">
              <w:rPr>
                <w:sz w:val="22"/>
                <w:szCs w:val="22"/>
              </w:rPr>
              <w:t>8</w:t>
            </w:r>
            <w:r w:rsidR="000374C2" w:rsidRPr="007B7A34">
              <w:rPr>
                <w:sz w:val="22"/>
                <w:szCs w:val="22"/>
              </w:rPr>
              <w:t>9126844236</w:t>
            </w:r>
            <w:r w:rsidR="000374C2">
              <w:rPr>
                <w:sz w:val="22"/>
                <w:szCs w:val="22"/>
              </w:rPr>
              <w:t xml:space="preserve"> </w:t>
            </w:r>
            <w:r w:rsidR="00F93243" w:rsidRPr="006E3CC9">
              <w:rPr>
                <w:b/>
                <w:bCs/>
              </w:rPr>
              <w:t>–</w:t>
            </w:r>
            <w:r w:rsidR="00F93243" w:rsidRPr="006E3CC9">
              <w:rPr>
                <w:b/>
              </w:rPr>
              <w:t xml:space="preserve"> номер телефона </w:t>
            </w:r>
            <w:r w:rsidR="00BB401D" w:rsidRPr="006E3CC9">
              <w:rPr>
                <w:b/>
              </w:rPr>
              <w:t>должника</w:t>
            </w:r>
          </w:p>
        </w:tc>
      </w:tr>
      <w:tr w:rsidR="00CC5712" w:rsidRPr="006E3CC9" w14:paraId="71D5BE55" w14:textId="77777777" w:rsidTr="00F378A0">
        <w:trPr>
          <w:jc w:val="center"/>
        </w:trPr>
        <w:tc>
          <w:tcPr>
            <w:tcW w:w="154" w:type="pct"/>
          </w:tcPr>
          <w:p w14:paraId="2776DDBB" w14:textId="77777777" w:rsidR="00CC5712" w:rsidRPr="006E3CC9" w:rsidRDefault="00CC5712" w:rsidP="006A0D3E">
            <w:pPr>
              <w:jc w:val="center"/>
            </w:pPr>
            <w:r w:rsidRPr="006E3CC9">
              <w:t>2.</w:t>
            </w:r>
          </w:p>
        </w:tc>
        <w:tc>
          <w:tcPr>
            <w:tcW w:w="500" w:type="pct"/>
          </w:tcPr>
          <w:p w14:paraId="162528C7" w14:textId="77777777" w:rsidR="00CC5712" w:rsidRPr="006E3CC9" w:rsidRDefault="00CC5712" w:rsidP="006A0D3E">
            <w:r w:rsidRPr="006E3CC9">
              <w:t>Сроки продажи имущества</w:t>
            </w:r>
          </w:p>
        </w:tc>
        <w:tc>
          <w:tcPr>
            <w:tcW w:w="4345" w:type="pct"/>
          </w:tcPr>
          <w:p w14:paraId="2A9A059A" w14:textId="77777777" w:rsidR="00CC5712" w:rsidRPr="006E3CC9" w:rsidRDefault="00EE2383" w:rsidP="006A0D3E">
            <w:pPr>
              <w:jc w:val="both"/>
              <w:rPr>
                <w:highlight w:val="yellow"/>
              </w:rPr>
            </w:pPr>
            <w:r w:rsidRPr="000374C2">
              <w:t>Организовать продажу имущества в течение 30 дней со дня утверждения судом настоящего Положения.</w:t>
            </w:r>
          </w:p>
        </w:tc>
      </w:tr>
      <w:tr w:rsidR="00CC5712" w:rsidRPr="006E3CC9" w14:paraId="72363064" w14:textId="77777777" w:rsidTr="00F378A0">
        <w:trPr>
          <w:jc w:val="center"/>
        </w:trPr>
        <w:tc>
          <w:tcPr>
            <w:tcW w:w="154" w:type="pct"/>
          </w:tcPr>
          <w:p w14:paraId="2FF3B778" w14:textId="77777777" w:rsidR="00CC5712" w:rsidRPr="006E3CC9" w:rsidRDefault="00CC5712" w:rsidP="006A0D3E">
            <w:pPr>
              <w:jc w:val="center"/>
            </w:pPr>
            <w:r w:rsidRPr="006E3CC9">
              <w:t>3.</w:t>
            </w:r>
          </w:p>
        </w:tc>
        <w:tc>
          <w:tcPr>
            <w:tcW w:w="500" w:type="pct"/>
          </w:tcPr>
          <w:p w14:paraId="33D24259" w14:textId="77777777" w:rsidR="00CC5712" w:rsidRPr="006E3CC9" w:rsidRDefault="00CC5712" w:rsidP="006A0D3E">
            <w:r w:rsidRPr="006E3CC9">
              <w:t>Организатор торгов</w:t>
            </w:r>
          </w:p>
        </w:tc>
        <w:tc>
          <w:tcPr>
            <w:tcW w:w="4345" w:type="pct"/>
          </w:tcPr>
          <w:p w14:paraId="24481C50" w14:textId="26B85A28" w:rsidR="00B90994" w:rsidRPr="000374C2" w:rsidRDefault="00CC5712" w:rsidP="000374C2">
            <w:pPr>
              <w:rPr>
                <w:noProof/>
              </w:rPr>
            </w:pPr>
            <w:r w:rsidRPr="006E3CC9">
              <w:t xml:space="preserve">Финансовый управляющий </w:t>
            </w:r>
            <w:r w:rsidR="006E3CC9" w:rsidRPr="003920A9">
              <w:rPr>
                <w:noProof/>
              </w:rPr>
              <w:t>Никитин Дмитрий Николаевич</w:t>
            </w:r>
            <w:r w:rsidRPr="006E3CC9">
              <w:t xml:space="preserve">, </w:t>
            </w:r>
            <w:r w:rsidR="00A55C76" w:rsidRPr="006E3CC9">
              <w:rPr>
                <w:noProof/>
              </w:rPr>
              <w:t xml:space="preserve">действующий на основании </w:t>
            </w:r>
            <w:r w:rsidR="006E3CC9">
              <w:rPr>
                <w:noProof/>
              </w:rPr>
              <w:t>определения</w:t>
            </w:r>
            <w:r w:rsidR="000374C2">
              <w:rPr>
                <w:noProof/>
              </w:rPr>
              <w:t xml:space="preserve"> </w:t>
            </w:r>
            <w:r w:rsidR="00C8025A" w:rsidRPr="000374C2">
              <w:rPr>
                <w:noProof/>
              </w:rPr>
              <w:t>Арбитражн</w:t>
            </w:r>
            <w:r w:rsidR="000374C2">
              <w:rPr>
                <w:noProof/>
              </w:rPr>
              <w:t>ого</w:t>
            </w:r>
            <w:r w:rsidR="00C8025A" w:rsidRPr="000374C2">
              <w:rPr>
                <w:noProof/>
              </w:rPr>
              <w:t xml:space="preserve"> суд</w:t>
            </w:r>
            <w:r w:rsidR="000374C2">
              <w:rPr>
                <w:noProof/>
              </w:rPr>
              <w:t>а</w:t>
            </w:r>
            <w:r w:rsidR="00C8025A" w:rsidRPr="000374C2">
              <w:rPr>
                <w:noProof/>
              </w:rPr>
              <w:t xml:space="preserve"> Томской области</w:t>
            </w:r>
            <w:r w:rsidR="000374C2">
              <w:rPr>
                <w:noProof/>
              </w:rPr>
              <w:t xml:space="preserve"> по делу</w:t>
            </w:r>
            <w:r w:rsidR="006165BE" w:rsidRPr="000374C2">
              <w:t xml:space="preserve"> </w:t>
            </w:r>
            <w:r w:rsidR="00F379AC" w:rsidRPr="000374C2">
              <w:t>№</w:t>
            </w:r>
            <w:r w:rsidR="00EA7419" w:rsidRPr="000374C2">
              <w:t>А67-11255/2023</w:t>
            </w:r>
            <w:r w:rsidR="00C8025A" w:rsidRPr="000374C2">
              <w:t>.</w:t>
            </w:r>
          </w:p>
          <w:p w14:paraId="7D72E394" w14:textId="77777777" w:rsidR="00EE2383" w:rsidRPr="006E3CC9" w:rsidRDefault="00EE2383" w:rsidP="006A0D3E">
            <w:r w:rsidRPr="006E3CC9">
              <w:t>Организатор торгов выполняет следующие функции:</w:t>
            </w:r>
          </w:p>
          <w:p w14:paraId="3B919FA6" w14:textId="77777777" w:rsidR="00EE2383" w:rsidRPr="006E3CC9" w:rsidRDefault="00EE2383" w:rsidP="00BB401D">
            <w:pPr>
              <w:numPr>
                <w:ilvl w:val="0"/>
                <w:numId w:val="5"/>
              </w:numPr>
              <w:ind w:left="431" w:hanging="283"/>
            </w:pPr>
            <w:r w:rsidRPr="006E3CC9">
              <w:t>опубликовывает и размещает сообщение о продаже имущества и сообщение о результатах проведения торгов;</w:t>
            </w:r>
          </w:p>
          <w:p w14:paraId="5CA678F2" w14:textId="77777777" w:rsidR="00EE2383" w:rsidRPr="006E3CC9" w:rsidRDefault="00EE2383" w:rsidP="00BB401D">
            <w:pPr>
              <w:numPr>
                <w:ilvl w:val="0"/>
                <w:numId w:val="5"/>
              </w:numPr>
              <w:ind w:left="431" w:hanging="283"/>
            </w:pPr>
            <w:r w:rsidRPr="006E3CC9">
              <w:t>определяет участников торгов;</w:t>
            </w:r>
          </w:p>
          <w:p w14:paraId="797ACD5A" w14:textId="77777777" w:rsidR="00EE2383" w:rsidRPr="006E3CC9" w:rsidRDefault="00EE2383" w:rsidP="00BB401D">
            <w:pPr>
              <w:numPr>
                <w:ilvl w:val="0"/>
                <w:numId w:val="5"/>
              </w:numPr>
              <w:ind w:left="431" w:hanging="283"/>
            </w:pPr>
            <w:r w:rsidRPr="006E3CC9">
              <w:t>определяет победителя торгов и подписывает протокол о результатах проведения торгов;</w:t>
            </w:r>
          </w:p>
          <w:p w14:paraId="7724F60B" w14:textId="77777777" w:rsidR="00EE2383" w:rsidRPr="006E3CC9" w:rsidRDefault="00EE2383" w:rsidP="00BB401D">
            <w:pPr>
              <w:numPr>
                <w:ilvl w:val="0"/>
                <w:numId w:val="5"/>
              </w:numPr>
              <w:ind w:left="431" w:hanging="283"/>
            </w:pPr>
            <w:r w:rsidRPr="006E3CC9">
              <w:t xml:space="preserve">уведомляет </w:t>
            </w:r>
            <w:r w:rsidR="00CE1F04" w:rsidRPr="006E3CC9">
              <w:t xml:space="preserve">заявителей и </w:t>
            </w:r>
            <w:r w:rsidRPr="006E3CC9">
              <w:t>участников торгов о результатах проведения торгов, путем опубликования сообщения на ЕФРСБ.</w:t>
            </w:r>
          </w:p>
          <w:p w14:paraId="60000A0B" w14:textId="77777777" w:rsidR="00EE2383" w:rsidRPr="006E3CC9" w:rsidRDefault="00EE2383" w:rsidP="00BB401D">
            <w:pPr>
              <w:numPr>
                <w:ilvl w:val="0"/>
                <w:numId w:val="5"/>
              </w:numPr>
              <w:ind w:left="431" w:hanging="283"/>
            </w:pPr>
            <w:r w:rsidRPr="006E3CC9">
              <w:t>Сведения об организаторе торгов:</w:t>
            </w:r>
          </w:p>
          <w:p w14:paraId="7C8E202F" w14:textId="58EFFEF8" w:rsidR="0061515B" w:rsidRPr="006E3CC9" w:rsidRDefault="00EE2383" w:rsidP="002B722C">
            <w:pPr>
              <w:numPr>
                <w:ilvl w:val="0"/>
                <w:numId w:val="6"/>
              </w:numPr>
              <w:ind w:left="715" w:hanging="283"/>
              <w:rPr>
                <w:noProof/>
              </w:rPr>
            </w:pPr>
            <w:r w:rsidRPr="006E3CC9">
              <w:t xml:space="preserve">почтовый адрес: </w:t>
            </w:r>
            <w:r w:rsidR="006165BE" w:rsidRPr="000374C2">
              <w:rPr>
                <w:b/>
                <w:noProof/>
              </w:rPr>
              <w:t>620076 г.Екатеринбург А/Я 14</w:t>
            </w:r>
          </w:p>
          <w:p w14:paraId="7375A342" w14:textId="322F9EE8" w:rsidR="00EE2383" w:rsidRPr="006E3CC9" w:rsidRDefault="00EE2383" w:rsidP="002B722C">
            <w:pPr>
              <w:numPr>
                <w:ilvl w:val="0"/>
                <w:numId w:val="6"/>
              </w:numPr>
              <w:ind w:left="715" w:hanging="283"/>
            </w:pPr>
            <w:r w:rsidRPr="006E3CC9">
              <w:t xml:space="preserve">адрес электронной почты: </w:t>
            </w:r>
            <w:r w:rsidR="006165BE" w:rsidRPr="006E3CC9">
              <w:rPr>
                <w:b/>
                <w:bCs/>
              </w:rPr>
              <w:t>arbitr.nikitin@gmail.com</w:t>
            </w:r>
          </w:p>
          <w:p w14:paraId="0305024F" w14:textId="5DFA0EAF" w:rsidR="006C5FDE" w:rsidRPr="006E3CC9" w:rsidRDefault="00B571E8" w:rsidP="002B722C">
            <w:pPr>
              <w:numPr>
                <w:ilvl w:val="0"/>
                <w:numId w:val="6"/>
              </w:numPr>
              <w:ind w:left="715" w:hanging="283"/>
            </w:pPr>
            <w:r w:rsidRPr="006E3CC9">
              <w:t xml:space="preserve">контактный номер: </w:t>
            </w:r>
            <w:r w:rsidR="006165BE" w:rsidRPr="006E3CC9">
              <w:rPr>
                <w:b/>
              </w:rPr>
              <w:t>89014317157 </w:t>
            </w:r>
          </w:p>
        </w:tc>
      </w:tr>
      <w:tr w:rsidR="00CC5712" w:rsidRPr="006E3CC9" w14:paraId="5F095F58" w14:textId="77777777" w:rsidTr="00F378A0">
        <w:trPr>
          <w:jc w:val="center"/>
        </w:trPr>
        <w:tc>
          <w:tcPr>
            <w:tcW w:w="154" w:type="pct"/>
          </w:tcPr>
          <w:p w14:paraId="23EB662A" w14:textId="77777777" w:rsidR="00CC5712" w:rsidRPr="006E3CC9" w:rsidRDefault="00CC5712" w:rsidP="006A0D3E">
            <w:pPr>
              <w:jc w:val="center"/>
            </w:pPr>
            <w:r w:rsidRPr="006E3CC9">
              <w:t>4.</w:t>
            </w:r>
          </w:p>
        </w:tc>
        <w:tc>
          <w:tcPr>
            <w:tcW w:w="500" w:type="pct"/>
          </w:tcPr>
          <w:p w14:paraId="18BB3127" w14:textId="77777777" w:rsidR="00CC5712" w:rsidRPr="006E3CC9" w:rsidRDefault="00CC5712" w:rsidP="006A0D3E">
            <w:r w:rsidRPr="006E3CC9">
              <w:t>Форма торгов и форма представления предложений о цене имущества</w:t>
            </w:r>
          </w:p>
        </w:tc>
        <w:tc>
          <w:tcPr>
            <w:tcW w:w="4345" w:type="pct"/>
          </w:tcPr>
          <w:p w14:paraId="60595B1D" w14:textId="33757152" w:rsidR="00CC5712" w:rsidRPr="006E3CC9" w:rsidRDefault="00EE2383" w:rsidP="006A0D3E">
            <w:pPr>
              <w:jc w:val="both"/>
            </w:pPr>
            <w:r w:rsidRPr="006E3CC9">
              <w:t xml:space="preserve">Продажа имущества должника осуществляется путем проведения </w:t>
            </w:r>
            <w:r w:rsidR="00C44E3B">
              <w:t>з</w:t>
            </w:r>
            <w:r w:rsidR="00C44E3B" w:rsidRPr="00C44E3B">
              <w:t>акрыт</w:t>
            </w:r>
            <w:r w:rsidR="00C44E3B">
              <w:t>ого</w:t>
            </w:r>
            <w:r w:rsidR="00C44E3B" w:rsidRPr="00C44E3B">
              <w:t xml:space="preserve"> аукцион</w:t>
            </w:r>
            <w:r w:rsidR="00C44E3B">
              <w:t>а</w:t>
            </w:r>
            <w:r w:rsidR="00C44E3B" w:rsidRPr="00C44E3B">
              <w:t xml:space="preserve"> с открытой формой представления предложений о цене</w:t>
            </w:r>
          </w:p>
        </w:tc>
      </w:tr>
      <w:tr w:rsidR="00CC5712" w:rsidRPr="006E3CC9" w14:paraId="13F88589" w14:textId="77777777" w:rsidTr="00F378A0">
        <w:trPr>
          <w:jc w:val="center"/>
        </w:trPr>
        <w:tc>
          <w:tcPr>
            <w:tcW w:w="154" w:type="pct"/>
          </w:tcPr>
          <w:p w14:paraId="059B9DD2" w14:textId="77777777" w:rsidR="00CC5712" w:rsidRPr="006E3CC9" w:rsidRDefault="00CC5712" w:rsidP="006A0D3E">
            <w:pPr>
              <w:jc w:val="center"/>
            </w:pPr>
            <w:r w:rsidRPr="006E3CC9">
              <w:t>5.</w:t>
            </w:r>
          </w:p>
        </w:tc>
        <w:tc>
          <w:tcPr>
            <w:tcW w:w="500" w:type="pct"/>
          </w:tcPr>
          <w:p w14:paraId="3E023584" w14:textId="77777777" w:rsidR="00CC5712" w:rsidRPr="006E3CC9" w:rsidRDefault="00CC5712" w:rsidP="006A0D3E">
            <w:r w:rsidRPr="006E3CC9">
              <w:t>Место проведения торгов</w:t>
            </w:r>
          </w:p>
        </w:tc>
        <w:tc>
          <w:tcPr>
            <w:tcW w:w="4345" w:type="pct"/>
          </w:tcPr>
          <w:p w14:paraId="75CBD394" w14:textId="77777777" w:rsidR="002B722C" w:rsidRPr="006E3CC9" w:rsidRDefault="00EE2383" w:rsidP="006A0D3E">
            <w:pPr>
              <w:jc w:val="both"/>
            </w:pPr>
            <w:r w:rsidRPr="006E3CC9">
              <w:t>Торги проводятся по месту нахождения финансового управляющего</w:t>
            </w:r>
            <w:r w:rsidR="002B722C" w:rsidRPr="006E3CC9">
              <w:t>:</w:t>
            </w:r>
          </w:p>
          <w:p w14:paraId="2780D1AC" w14:textId="568A9E7C" w:rsidR="00CC5712" w:rsidRPr="006E3CC9" w:rsidRDefault="001378FB" w:rsidP="002B722C">
            <w:pPr>
              <w:numPr>
                <w:ilvl w:val="0"/>
                <w:numId w:val="7"/>
              </w:numPr>
              <w:ind w:left="289" w:hanging="141"/>
              <w:jc w:val="both"/>
            </w:pPr>
            <w:r w:rsidRPr="00DE2945">
              <w:rPr>
                <w:b/>
                <w:bCs/>
              </w:rPr>
              <w:t>Свердловская обл., г. Екатеринбург</w:t>
            </w:r>
          </w:p>
        </w:tc>
      </w:tr>
      <w:tr w:rsidR="00CC5712" w:rsidRPr="006E3CC9" w14:paraId="59A49615" w14:textId="77777777" w:rsidTr="00F378A0">
        <w:trPr>
          <w:jc w:val="center"/>
        </w:trPr>
        <w:tc>
          <w:tcPr>
            <w:tcW w:w="154" w:type="pct"/>
          </w:tcPr>
          <w:p w14:paraId="40278846" w14:textId="77777777" w:rsidR="00CC5712" w:rsidRPr="006E3CC9" w:rsidRDefault="00CC5712" w:rsidP="006A0D3E">
            <w:pPr>
              <w:jc w:val="center"/>
            </w:pPr>
            <w:r w:rsidRPr="006E3CC9">
              <w:t>6.</w:t>
            </w:r>
          </w:p>
        </w:tc>
        <w:tc>
          <w:tcPr>
            <w:tcW w:w="500" w:type="pct"/>
          </w:tcPr>
          <w:p w14:paraId="47A3C56A" w14:textId="77777777" w:rsidR="00CC5712" w:rsidRPr="006E3CC9" w:rsidRDefault="00CC5712" w:rsidP="006A0D3E">
            <w:r w:rsidRPr="006E3CC9">
              <w:t>Размер задатка</w:t>
            </w:r>
          </w:p>
        </w:tc>
        <w:tc>
          <w:tcPr>
            <w:tcW w:w="4345" w:type="pct"/>
          </w:tcPr>
          <w:p w14:paraId="70D94122" w14:textId="73AE7606" w:rsidR="00CC5712" w:rsidRPr="006E3CC9" w:rsidRDefault="00EE2383" w:rsidP="006A0D3E">
            <w:pPr>
              <w:jc w:val="both"/>
            </w:pPr>
            <w:r w:rsidRPr="006E3CC9">
              <w:t xml:space="preserve">Размер задатка </w:t>
            </w:r>
            <w:r w:rsidR="001378FB">
              <w:rPr>
                <w:bCs/>
              </w:rPr>
              <w:t>–</w:t>
            </w:r>
            <w:r>
              <w:rPr>
                <w:bCs/>
              </w:rPr>
              <w:t xml:space="preserve"> 20</w:t>
            </w:r>
            <w:r w:rsidR="001378FB">
              <w:rPr>
                <w:bCs/>
              </w:rPr>
              <w:t xml:space="preserve"> %</w:t>
            </w:r>
            <w:r w:rsidRPr="006E3CC9">
              <w:t xml:space="preserve"> начальной цены лота.</w:t>
            </w:r>
          </w:p>
        </w:tc>
      </w:tr>
      <w:tr w:rsidR="00CC5712" w:rsidRPr="006E3CC9" w14:paraId="038B6422" w14:textId="77777777" w:rsidTr="00F378A0">
        <w:trPr>
          <w:jc w:val="center"/>
        </w:trPr>
        <w:tc>
          <w:tcPr>
            <w:tcW w:w="154" w:type="pct"/>
          </w:tcPr>
          <w:p w14:paraId="1A1E90A7" w14:textId="77777777" w:rsidR="00CC5712" w:rsidRPr="006E3CC9" w:rsidRDefault="00CC5712" w:rsidP="006A0D3E">
            <w:pPr>
              <w:jc w:val="center"/>
            </w:pPr>
            <w:r w:rsidRPr="006E3CC9">
              <w:t>7.</w:t>
            </w:r>
          </w:p>
        </w:tc>
        <w:tc>
          <w:tcPr>
            <w:tcW w:w="500" w:type="pct"/>
          </w:tcPr>
          <w:p w14:paraId="21A01529" w14:textId="77777777" w:rsidR="00CC5712" w:rsidRPr="006E3CC9" w:rsidRDefault="00CC5712" w:rsidP="006A0D3E">
            <w:r w:rsidRPr="006E3CC9">
              <w:t>Срок и порядок внесения задатка</w:t>
            </w:r>
          </w:p>
        </w:tc>
        <w:tc>
          <w:tcPr>
            <w:tcW w:w="4345" w:type="pct"/>
          </w:tcPr>
          <w:p w14:paraId="15588C1B" w14:textId="77777777" w:rsidR="00EE2383" w:rsidRPr="006E3CC9" w:rsidRDefault="00EE2383" w:rsidP="006A0D3E">
            <w:pPr>
              <w:jc w:val="both"/>
            </w:pPr>
            <w:r w:rsidRPr="006E3CC9">
              <w:t xml:space="preserve">1. Срок внесения задатка - не позднее даты окончания срока приема заявок на участие в торгах. </w:t>
            </w:r>
          </w:p>
          <w:p w14:paraId="0103A2DB" w14:textId="77777777" w:rsidR="00CC5712" w:rsidRPr="006E3CC9" w:rsidRDefault="0061515B" w:rsidP="006A0D3E">
            <w:pPr>
              <w:jc w:val="both"/>
            </w:pPr>
            <w:r w:rsidRPr="006E3CC9">
              <w:t xml:space="preserve">2. </w:t>
            </w:r>
            <w:r w:rsidR="00EE2383" w:rsidRPr="006E3CC9">
              <w:t>Внесение задатка осуществляется по реквизитам, указанным в объявлении о    торгах.</w:t>
            </w:r>
          </w:p>
        </w:tc>
      </w:tr>
      <w:tr w:rsidR="00CC5712" w:rsidRPr="006E3CC9" w14:paraId="3106FEBF" w14:textId="77777777" w:rsidTr="00F378A0">
        <w:trPr>
          <w:jc w:val="center"/>
        </w:trPr>
        <w:tc>
          <w:tcPr>
            <w:tcW w:w="154" w:type="pct"/>
          </w:tcPr>
          <w:p w14:paraId="158D2527" w14:textId="77777777" w:rsidR="00CC5712" w:rsidRPr="006E3CC9" w:rsidRDefault="00CC5712" w:rsidP="006A0D3E">
            <w:pPr>
              <w:jc w:val="center"/>
            </w:pPr>
            <w:r w:rsidRPr="006E3CC9">
              <w:lastRenderedPageBreak/>
              <w:t>8.</w:t>
            </w:r>
          </w:p>
        </w:tc>
        <w:tc>
          <w:tcPr>
            <w:tcW w:w="500" w:type="pct"/>
          </w:tcPr>
          <w:p w14:paraId="62D6FC00" w14:textId="77777777" w:rsidR="00CC5712" w:rsidRPr="006E3CC9" w:rsidRDefault="00CC5712" w:rsidP="006A0D3E">
            <w:r w:rsidRPr="006E3CC9">
              <w:t>Шаг аукциона</w:t>
            </w:r>
          </w:p>
        </w:tc>
        <w:tc>
          <w:tcPr>
            <w:tcW w:w="4345" w:type="pct"/>
          </w:tcPr>
          <w:p w14:paraId="6C8E7AB9" w14:textId="06F2AC42" w:rsidR="00CC5712" w:rsidRPr="006E3CC9" w:rsidRDefault="00EE2383" w:rsidP="006A0D3E">
            <w:pPr>
              <w:jc w:val="both"/>
            </w:pPr>
            <w:r w:rsidRPr="006E3CC9">
              <w:t>Шаг аукциона</w:t>
            </w:r>
            <w:r w:rsidR="001760F5" w:rsidRPr="006E3CC9">
              <w:t xml:space="preserve"> </w:t>
            </w:r>
            <w:r w:rsidR="001378FB">
              <w:t>–</w:t>
            </w:r>
            <w:r>
              <w:t xml:space="preserve"> 10</w:t>
            </w:r>
            <w:r w:rsidR="001378FB">
              <w:t xml:space="preserve"> %</w:t>
            </w:r>
            <w:r w:rsidRPr="006E3CC9">
              <w:t xml:space="preserve"> начальной цены лота.</w:t>
            </w:r>
          </w:p>
        </w:tc>
      </w:tr>
      <w:tr w:rsidR="00CC5712" w:rsidRPr="006E3CC9" w14:paraId="2F4269B8" w14:textId="77777777" w:rsidTr="00F378A0">
        <w:trPr>
          <w:jc w:val="center"/>
        </w:trPr>
        <w:tc>
          <w:tcPr>
            <w:tcW w:w="154" w:type="pct"/>
          </w:tcPr>
          <w:p w14:paraId="7467C2D2" w14:textId="77777777" w:rsidR="00CC5712" w:rsidRPr="006E3CC9" w:rsidRDefault="00CC5712" w:rsidP="006A0D3E">
            <w:pPr>
              <w:jc w:val="center"/>
            </w:pPr>
            <w:r w:rsidRPr="006E3CC9">
              <w:t>9.</w:t>
            </w:r>
          </w:p>
        </w:tc>
        <w:tc>
          <w:tcPr>
            <w:tcW w:w="500" w:type="pct"/>
          </w:tcPr>
          <w:p w14:paraId="4BA9DF89" w14:textId="77777777" w:rsidR="00CC5712" w:rsidRPr="006E3CC9" w:rsidRDefault="00CC5712" w:rsidP="006A0D3E">
            <w:r w:rsidRPr="006E3CC9">
              <w:t>Сообщение о продаже имущества</w:t>
            </w:r>
          </w:p>
        </w:tc>
        <w:tc>
          <w:tcPr>
            <w:tcW w:w="4345" w:type="pct"/>
          </w:tcPr>
          <w:p w14:paraId="4EF15E50" w14:textId="7E6245EE" w:rsidR="00A0594A" w:rsidRPr="006E3CC9" w:rsidRDefault="00A0594A" w:rsidP="00A0594A">
            <w:pPr>
              <w:jc w:val="both"/>
            </w:pPr>
            <w:r w:rsidRPr="006E3CC9">
              <w:t xml:space="preserve">Сообщение о продаже имущества публикуется в Едином федеральном реестре сведений о банкротстве и </w:t>
            </w:r>
            <w:r w:rsidR="00CF50C4" w:rsidRPr="006E3CC9">
              <w:t xml:space="preserve">площадке </w:t>
            </w:r>
            <w:r w:rsidR="00C8025A">
              <w:t xml:space="preserve"> </w:t>
            </w:r>
            <w:r w:rsidRPr="006E3CC9">
              <w:t xml:space="preserve">в срок не позднее, чем за 30 (тридцать) рабочих дней до даты проведения торгов. </w:t>
            </w:r>
          </w:p>
          <w:p w14:paraId="1CBC1136" w14:textId="77777777" w:rsidR="00A0594A" w:rsidRPr="006E3CC9" w:rsidRDefault="00A0594A" w:rsidP="00A0594A">
            <w:pPr>
              <w:jc w:val="both"/>
            </w:pPr>
            <w:r w:rsidRPr="006E3CC9">
              <w:t>Текст сообщения должен содержать следующие сведения:</w:t>
            </w:r>
          </w:p>
          <w:p w14:paraId="75ECF88A" w14:textId="77777777" w:rsidR="00A0594A" w:rsidRPr="006E3CC9" w:rsidRDefault="00A0594A" w:rsidP="002F34B1">
            <w:pPr>
              <w:numPr>
                <w:ilvl w:val="0"/>
                <w:numId w:val="8"/>
              </w:numPr>
              <w:ind w:left="431"/>
              <w:jc w:val="both"/>
            </w:pPr>
            <w:r w:rsidRPr="006E3CC9">
              <w:t>сведения об имуществе, его составе, характеристиках, описание имущества, порядок ознакомления с имуществом;</w:t>
            </w:r>
          </w:p>
          <w:p w14:paraId="1F07C19E" w14:textId="77777777" w:rsidR="00394753" w:rsidRPr="006E3CC9" w:rsidRDefault="00394753" w:rsidP="002F34B1">
            <w:pPr>
              <w:numPr>
                <w:ilvl w:val="0"/>
                <w:numId w:val="8"/>
              </w:numPr>
              <w:ind w:left="431"/>
              <w:jc w:val="both"/>
            </w:pPr>
            <w:r w:rsidRPr="006E3CC9">
              <w:t>сведения о форме проведения торгов и форме представления предложений о цене имущества;</w:t>
            </w:r>
          </w:p>
          <w:p w14:paraId="079B8B11" w14:textId="77777777" w:rsidR="00394753" w:rsidRPr="006E3CC9" w:rsidRDefault="00394753" w:rsidP="002F34B1">
            <w:pPr>
              <w:numPr>
                <w:ilvl w:val="0"/>
                <w:numId w:val="8"/>
              </w:numPr>
              <w:ind w:left="431"/>
              <w:jc w:val="both"/>
            </w:pPr>
            <w:r w:rsidRPr="006E3CC9">
              <w:t xml:space="preserve">порядок, место, срок и время представления заявок на участие в торгах и предложений о цене имущества (даты и время начала и окончания представления указанных заявок, дата и время начала представления указанных предложений); </w:t>
            </w:r>
          </w:p>
          <w:p w14:paraId="7532B548" w14:textId="77777777" w:rsidR="00394753" w:rsidRPr="006E3CC9" w:rsidRDefault="00394753" w:rsidP="002F34B1">
            <w:pPr>
              <w:numPr>
                <w:ilvl w:val="0"/>
                <w:numId w:val="8"/>
              </w:numPr>
              <w:ind w:left="431"/>
              <w:jc w:val="both"/>
            </w:pPr>
            <w:r w:rsidRPr="006E3CC9">
              <w:t>порядок оформления участия в торгах, перечень представляемых участниками торгов документов и требования к их оформлению;</w:t>
            </w:r>
          </w:p>
          <w:p w14:paraId="35618E82" w14:textId="77777777" w:rsidR="00394753" w:rsidRPr="006E3CC9" w:rsidRDefault="00394753" w:rsidP="002F34B1">
            <w:pPr>
              <w:numPr>
                <w:ilvl w:val="0"/>
                <w:numId w:val="8"/>
              </w:numPr>
              <w:ind w:left="431"/>
              <w:jc w:val="both"/>
            </w:pPr>
            <w:r w:rsidRPr="006E3CC9">
              <w:t>размер задатка, сроки и порядок внесения задатка, реквизиты счетов, на которые вносится задаток;</w:t>
            </w:r>
          </w:p>
          <w:p w14:paraId="7AA4D4BC" w14:textId="77777777" w:rsidR="00394753" w:rsidRPr="006E3CC9" w:rsidRDefault="00394753" w:rsidP="002F34B1">
            <w:pPr>
              <w:numPr>
                <w:ilvl w:val="0"/>
                <w:numId w:val="8"/>
              </w:numPr>
              <w:ind w:left="431"/>
              <w:jc w:val="both"/>
            </w:pPr>
            <w:r w:rsidRPr="006E3CC9">
              <w:t>начальная цена продажи имущества;</w:t>
            </w:r>
          </w:p>
          <w:p w14:paraId="20822364" w14:textId="77777777" w:rsidR="00394753" w:rsidRPr="006E3CC9" w:rsidRDefault="00394753" w:rsidP="002F34B1">
            <w:pPr>
              <w:numPr>
                <w:ilvl w:val="0"/>
                <w:numId w:val="8"/>
              </w:numPr>
              <w:ind w:left="431"/>
              <w:jc w:val="both"/>
            </w:pPr>
            <w:r w:rsidRPr="006E3CC9">
              <w:t>величина повышения начальной цены продажи имущества ("шаг аукциона");</w:t>
            </w:r>
          </w:p>
          <w:p w14:paraId="3B9466CE" w14:textId="77777777" w:rsidR="00394753" w:rsidRPr="006E3CC9" w:rsidRDefault="00394753" w:rsidP="002F34B1">
            <w:pPr>
              <w:numPr>
                <w:ilvl w:val="0"/>
                <w:numId w:val="8"/>
              </w:numPr>
              <w:ind w:left="431"/>
              <w:jc w:val="both"/>
            </w:pPr>
            <w:r w:rsidRPr="006E3CC9">
              <w:t>порядок и критерии выявления победителя торгов;</w:t>
            </w:r>
          </w:p>
          <w:p w14:paraId="4738BE82" w14:textId="77777777" w:rsidR="00394753" w:rsidRPr="006E3CC9" w:rsidRDefault="00394753" w:rsidP="002F34B1">
            <w:pPr>
              <w:numPr>
                <w:ilvl w:val="0"/>
                <w:numId w:val="8"/>
              </w:numPr>
              <w:ind w:left="431"/>
              <w:jc w:val="both"/>
            </w:pPr>
            <w:r w:rsidRPr="006E3CC9">
              <w:t>дата, время и место подведения результатов торгов;</w:t>
            </w:r>
          </w:p>
          <w:p w14:paraId="66F15A9D" w14:textId="77777777" w:rsidR="00394753" w:rsidRPr="006E3CC9" w:rsidRDefault="00394753" w:rsidP="002F34B1">
            <w:pPr>
              <w:numPr>
                <w:ilvl w:val="0"/>
                <w:numId w:val="8"/>
              </w:numPr>
              <w:ind w:left="431"/>
              <w:jc w:val="both"/>
            </w:pPr>
            <w:r w:rsidRPr="006E3CC9">
              <w:t>порядок и срок заключения договора купли-продажи имущества;</w:t>
            </w:r>
          </w:p>
          <w:p w14:paraId="542E2D9F" w14:textId="77777777" w:rsidR="00394753" w:rsidRPr="006E3CC9" w:rsidRDefault="00394753" w:rsidP="002F34B1">
            <w:pPr>
              <w:numPr>
                <w:ilvl w:val="0"/>
                <w:numId w:val="8"/>
              </w:numPr>
              <w:ind w:left="431"/>
              <w:jc w:val="both"/>
            </w:pPr>
            <w:r w:rsidRPr="006E3CC9">
              <w:t>сроки платежей, реквизиты счетов, на которые вносятся платежи;</w:t>
            </w:r>
          </w:p>
          <w:p w14:paraId="0A991EE2" w14:textId="77777777" w:rsidR="00CC5712" w:rsidRPr="006E3CC9" w:rsidRDefault="00394753" w:rsidP="002F34B1">
            <w:pPr>
              <w:numPr>
                <w:ilvl w:val="0"/>
                <w:numId w:val="8"/>
              </w:numPr>
              <w:ind w:left="431"/>
              <w:jc w:val="both"/>
            </w:pPr>
            <w:r w:rsidRPr="006E3CC9">
              <w:t>сведения об организаторе торгов, его почтовый адрес, адрес электронной почты, номер контактного телефона.</w:t>
            </w:r>
          </w:p>
        </w:tc>
      </w:tr>
      <w:tr w:rsidR="00394753" w:rsidRPr="006E3CC9" w14:paraId="45F8D756" w14:textId="77777777" w:rsidTr="00F378A0">
        <w:trPr>
          <w:jc w:val="center"/>
        </w:trPr>
        <w:tc>
          <w:tcPr>
            <w:tcW w:w="154" w:type="pct"/>
          </w:tcPr>
          <w:p w14:paraId="21DE725D" w14:textId="77777777" w:rsidR="00394753" w:rsidRPr="006E3CC9" w:rsidRDefault="00394753" w:rsidP="006A0D3E">
            <w:pPr>
              <w:jc w:val="center"/>
            </w:pPr>
            <w:r w:rsidRPr="006E3CC9">
              <w:t>10.</w:t>
            </w:r>
          </w:p>
        </w:tc>
        <w:tc>
          <w:tcPr>
            <w:tcW w:w="500" w:type="pct"/>
          </w:tcPr>
          <w:p w14:paraId="6DD62E4D" w14:textId="77777777" w:rsidR="00394753" w:rsidRPr="006E3CC9" w:rsidRDefault="00394753" w:rsidP="006A0D3E">
            <w:r w:rsidRPr="00F40E4B">
              <w:t>Заявка на участие в торгах</w:t>
            </w:r>
          </w:p>
        </w:tc>
        <w:tc>
          <w:tcPr>
            <w:tcW w:w="4345" w:type="pct"/>
          </w:tcPr>
          <w:p w14:paraId="4A3AD782" w14:textId="3B2C4E9D" w:rsidR="00F40E4B" w:rsidRDefault="0007594F" w:rsidP="0007594F">
            <w:pPr>
              <w:jc w:val="both"/>
            </w:pPr>
            <w:r w:rsidRPr="0007594F">
              <w:t>Торги проводятся с учетом особенностей, установленных</w:t>
            </w:r>
            <w:r>
              <w:t xml:space="preserve"> статьей 13 </w:t>
            </w:r>
            <w:r w:rsidRPr="0007594F">
              <w:t>Федераль</w:t>
            </w:r>
            <w:r>
              <w:t>ного</w:t>
            </w:r>
            <w:r w:rsidRPr="0007594F">
              <w:t xml:space="preserve"> закон</w:t>
            </w:r>
            <w:r>
              <w:t>а</w:t>
            </w:r>
            <w:r w:rsidRPr="0007594F">
              <w:t xml:space="preserve"> от 13.12.1996 N 150-ФЗ) "Об оружии</w:t>
            </w:r>
            <w:r>
              <w:t>». Согласно данному законодательству</w:t>
            </w:r>
            <w:r w:rsidR="00F40E4B">
              <w:t xml:space="preserve">: </w:t>
            </w:r>
            <w:r w:rsidR="00F40E4B" w:rsidRPr="00F40E4B">
              <w:t>Огнестрельное гладкоствольное длинноствольное оружи</w:t>
            </w:r>
            <w:r w:rsidR="00F40E4B">
              <w:t xml:space="preserve">е </w:t>
            </w:r>
            <w:r w:rsidR="00F40E4B" w:rsidRPr="00F40E4B">
              <w:t>граждане Российской Федерации имеют право приобретать в целях самообороны без права ношения на основании лицензии, выдаваемой федеральным органом исполнительной власти, уполномоченным в сфере оборота оружия, или его территориальным органом по месту жительства.</w:t>
            </w:r>
            <w:r w:rsidR="00496CEE">
              <w:t xml:space="preserve"> </w:t>
            </w:r>
            <w:r w:rsidR="00496CEE" w:rsidRPr="00496CEE">
              <w:t>Спортивное и охотничье огнестрельное гладкоствольное длинноствольное оружие, охотничье пневматическое и охотничье метательное стрелковое оружие имеют право приобретать граждане Российской Федерации, которым выданы охотничьи билеты.</w:t>
            </w:r>
          </w:p>
          <w:p w14:paraId="67736A27" w14:textId="77777777" w:rsidR="00F40E4B" w:rsidRDefault="00F40E4B" w:rsidP="0007594F">
            <w:pPr>
              <w:jc w:val="both"/>
            </w:pPr>
          </w:p>
          <w:p w14:paraId="17FAF913" w14:textId="5508F65D" w:rsidR="0007594F" w:rsidRDefault="00F40E4B" w:rsidP="0007594F">
            <w:pPr>
              <w:jc w:val="both"/>
            </w:pPr>
            <w:r>
              <w:t>Л</w:t>
            </w:r>
            <w:r w:rsidR="0007594F">
              <w:t>ицензию на приобретение охотничьего огнестрельного длинноствольного оружия с нарезным стволом имеют право получать граждане Российской Федерации, которые имеют охотничий билет, при наличии одного из следующих условий:</w:t>
            </w:r>
          </w:p>
          <w:p w14:paraId="1232128A" w14:textId="77777777" w:rsidR="0007594F" w:rsidRDefault="0007594F" w:rsidP="0007594F">
            <w:pPr>
              <w:jc w:val="both"/>
            </w:pPr>
          </w:p>
          <w:p w14:paraId="25FDFA4C" w14:textId="77777777" w:rsidR="0007594F" w:rsidRDefault="0007594F" w:rsidP="0007594F">
            <w:pPr>
              <w:jc w:val="both"/>
            </w:pPr>
            <w:r>
              <w:t>1) занимаются профессиональной деятельностью, связанной с охотой;</w:t>
            </w:r>
          </w:p>
          <w:p w14:paraId="1B77F800" w14:textId="77777777" w:rsidR="0007594F" w:rsidRDefault="0007594F" w:rsidP="0007594F">
            <w:pPr>
              <w:jc w:val="both"/>
            </w:pPr>
          </w:p>
          <w:p w14:paraId="6471C8ED" w14:textId="77777777" w:rsidR="0007594F" w:rsidRDefault="0007594F" w:rsidP="0007594F">
            <w:pPr>
              <w:jc w:val="both"/>
            </w:pPr>
            <w:r>
              <w:t>2) владеют непрерывно не менее пяти лет охотничьим огнестрельным длинноствольным оружием на основании разрешения на его хранение и ношение, выданного федеральным органом исполнительной власти, уполномоченным в сфере оборота оружия, или его территориальным органом в соответствии с настоящей статьей;</w:t>
            </w:r>
          </w:p>
          <w:p w14:paraId="7C361D63" w14:textId="77777777" w:rsidR="0007594F" w:rsidRDefault="0007594F" w:rsidP="0007594F">
            <w:pPr>
              <w:jc w:val="both"/>
            </w:pPr>
          </w:p>
          <w:p w14:paraId="43125161" w14:textId="77777777" w:rsidR="0007594F" w:rsidRDefault="0007594F" w:rsidP="0007594F">
            <w:pPr>
              <w:jc w:val="both"/>
            </w:pPr>
            <w:r>
              <w:t>3) владеют охотничьим огнестрельным длинноствольным оружием с нарезным стволом на основании разрешения на его хранение и ношение, выданного федеральным органом исполнительной власти, уполномоченным в сфере оборота оружия, или его территориальным органом в соответствии с настоящей статьей, которое было приобретено на основании лицензии на приобретение такого оружия;</w:t>
            </w:r>
          </w:p>
          <w:p w14:paraId="30C8DE2A" w14:textId="77777777" w:rsidR="0007594F" w:rsidRDefault="0007594F" w:rsidP="0007594F">
            <w:pPr>
              <w:jc w:val="both"/>
            </w:pPr>
          </w:p>
          <w:p w14:paraId="24FFC8A0" w14:textId="77777777" w:rsidR="0007594F" w:rsidRDefault="0007594F" w:rsidP="0007594F">
            <w:pPr>
              <w:jc w:val="both"/>
            </w:pPr>
            <w:r>
              <w:t>4) владели непрерывно не менее пяти лет охотничьим огнестрельным длинноствольным оружием на основании разрешения на его хранение и ношение, выданного федеральным органом исполнительной власти, уполномоченным в сфере оборота оружия, или его территориальным органом в соответствии с настоящей статьей, если со дня истечения срока действия указанного разрешения или его аннулирования на основании добровольного отказа гражданина от указанного разрешения прошло не более одного года;</w:t>
            </w:r>
          </w:p>
          <w:p w14:paraId="03C07407" w14:textId="77777777" w:rsidR="0007594F" w:rsidRDefault="0007594F" w:rsidP="0007594F">
            <w:pPr>
              <w:jc w:val="both"/>
            </w:pPr>
          </w:p>
          <w:p w14:paraId="7C349ED1" w14:textId="092FD21D" w:rsidR="0007594F" w:rsidRDefault="0007594F" w:rsidP="0007594F">
            <w:pPr>
              <w:jc w:val="both"/>
            </w:pPr>
            <w:r>
              <w:t>5) владели охотничьим огнестрельным длинноствольным оружием с нарезным стволом на основании разрешения на его хранение и ношение, выданного федеральным органом исполнительной власти, уполномоченным в сфере оборота оружия, или его территориальным органом в соответствии с настоящей статьей, которое было приобретено на основании лицензии на приобретение такого оружия, если со дня истечения срока действия указанного разрешения или его аннулирования на основании добровольного отказа гражданина от указанного разрешения прошло не более одного года.</w:t>
            </w:r>
          </w:p>
          <w:p w14:paraId="4BD53830" w14:textId="77777777" w:rsidR="0007594F" w:rsidRDefault="0007594F" w:rsidP="0007594F">
            <w:pPr>
              <w:jc w:val="both"/>
            </w:pPr>
          </w:p>
          <w:p w14:paraId="04FDF7D3" w14:textId="52F27B9F" w:rsidR="0007594F" w:rsidRDefault="0007594F" w:rsidP="0007594F">
            <w:pPr>
              <w:jc w:val="both"/>
            </w:pPr>
            <w:r w:rsidRPr="0007594F">
              <w:t xml:space="preserve">К участию в торгах допускаются только </w:t>
            </w:r>
            <w:r>
              <w:t>лица, имеющие специальную лицензию на данный вид оружия</w:t>
            </w:r>
            <w:r w:rsidRPr="0007594F">
              <w:t xml:space="preserve">, </w:t>
            </w:r>
            <w:r>
              <w:t xml:space="preserve">а также </w:t>
            </w:r>
            <w:r w:rsidRPr="0007594F">
              <w:t>своевременно подавшие заявку и внесшие задаток для участия в торгах.</w:t>
            </w:r>
          </w:p>
          <w:p w14:paraId="30226897" w14:textId="77777777" w:rsidR="0007594F" w:rsidRDefault="0007594F" w:rsidP="0007594F">
            <w:pPr>
              <w:jc w:val="both"/>
            </w:pPr>
          </w:p>
          <w:p w14:paraId="4CBB3BFB" w14:textId="224FBF90" w:rsidR="00394753" w:rsidRPr="006E3CC9" w:rsidRDefault="00394753" w:rsidP="0007594F">
            <w:pPr>
              <w:jc w:val="both"/>
            </w:pPr>
            <w:r w:rsidRPr="006E3CC9">
              <w:t xml:space="preserve">Заявка на участие в торгах оформляется в письменной форме произвольно на русском языке и должна содержать следующие сведения: 1) обязательство участника </w:t>
            </w:r>
            <w:r w:rsidR="00F40E4B">
              <w:t>закрытых</w:t>
            </w:r>
            <w:r w:rsidRPr="006E3CC9">
              <w:t xml:space="preserve"> торгов соблюдать требования, указанные в сообщении о проведении </w:t>
            </w:r>
            <w:r w:rsidR="00F40E4B">
              <w:t>закрытых</w:t>
            </w:r>
            <w:r w:rsidRPr="006E3CC9">
              <w:t xml:space="preserve"> торгов; 2)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заявителя; 3) сведения о наличии или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а также саморегулируемой организации арбитражных управляющих, членом или руководителем которой является финансовый управляющий; 4) номер контактного телефона, адрес электронной почты заявителя. К заявке должны прилагаться следующие документы: 1) выписка из ЕГРЮЛ или засвидетельствованная в нотариальном </w:t>
            </w:r>
            <w:hyperlink r:id="rId6" w:history="1">
              <w:r w:rsidRPr="006E3CC9">
                <w:t>порядке</w:t>
              </w:r>
            </w:hyperlink>
            <w:r w:rsidRPr="006E3CC9">
              <w:t xml:space="preserve"> копия такой выписки (для юридического лица); выписка из ЕГРИП или засвидетельствованная в нотариальном </w:t>
            </w:r>
            <w:hyperlink r:id="rId7" w:history="1">
              <w:r w:rsidRPr="006E3CC9">
                <w:t>порядке</w:t>
              </w:r>
            </w:hyperlink>
            <w:r w:rsidRPr="006E3CC9">
              <w:t xml:space="preserve"> копия такой выписки (для ИП);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2)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w:t>
            </w:r>
            <w:r w:rsidR="00F40E4B">
              <w:t>закрытых</w:t>
            </w:r>
            <w:r w:rsidRPr="006E3CC9">
              <w:t xml:space="preserve"> торгов приобретение имущества или внесение денежных средств в качестве задатка являются крупной сделкой; 3) копии документов, подтверждающих полномочия руководителя (для юридических лиц), 4) оригинал документа об уплате задатка. Заявитель вправе направить задаток на счета, указанные в сообщении о проведении торгов без представления подписанного договора о задатке.</w:t>
            </w:r>
          </w:p>
        </w:tc>
      </w:tr>
      <w:tr w:rsidR="00394753" w:rsidRPr="006E3CC9" w14:paraId="25B27F25" w14:textId="77777777" w:rsidTr="00F378A0">
        <w:trPr>
          <w:jc w:val="center"/>
        </w:trPr>
        <w:tc>
          <w:tcPr>
            <w:tcW w:w="154" w:type="pct"/>
          </w:tcPr>
          <w:p w14:paraId="7669DF32" w14:textId="77777777" w:rsidR="00394753" w:rsidRPr="006E3CC9" w:rsidRDefault="00394753" w:rsidP="006A0D3E">
            <w:pPr>
              <w:jc w:val="center"/>
            </w:pPr>
            <w:r w:rsidRPr="006E3CC9">
              <w:lastRenderedPageBreak/>
              <w:t>11.</w:t>
            </w:r>
          </w:p>
        </w:tc>
        <w:tc>
          <w:tcPr>
            <w:tcW w:w="500" w:type="pct"/>
          </w:tcPr>
          <w:p w14:paraId="56A48304" w14:textId="77777777" w:rsidR="00394753" w:rsidRPr="006E3CC9" w:rsidRDefault="00394753" w:rsidP="006A0D3E">
            <w:r w:rsidRPr="006E3CC9">
              <w:t>Срок представления заявок на участие в торгах</w:t>
            </w:r>
          </w:p>
        </w:tc>
        <w:tc>
          <w:tcPr>
            <w:tcW w:w="4345" w:type="pct"/>
          </w:tcPr>
          <w:p w14:paraId="0043020E" w14:textId="399AA2BF" w:rsidR="00394753" w:rsidRPr="006E3CC9" w:rsidRDefault="00394753" w:rsidP="006A0D3E">
            <w:pPr>
              <w:jc w:val="both"/>
            </w:pPr>
            <w:r w:rsidRPr="006E3CC9">
              <w:t xml:space="preserve">Срок представления заявок на участие в </w:t>
            </w:r>
            <w:r w:rsidR="00DC5712">
              <w:t>закрытых</w:t>
            </w:r>
            <w:r w:rsidRPr="006E3CC9">
              <w:t xml:space="preserve"> торгах составляет </w:t>
            </w:r>
            <w:r w:rsidRPr="006E3CC9">
              <w:rPr>
                <w:b/>
                <w:bCs/>
              </w:rPr>
              <w:t>25 рабочих</w:t>
            </w:r>
            <w:r w:rsidRPr="006E3CC9">
              <w:t xml:space="preserve"> дней со дня опубликования и размещения сообщения о проведении торгов.</w:t>
            </w:r>
          </w:p>
        </w:tc>
      </w:tr>
      <w:tr w:rsidR="00394753" w:rsidRPr="006E3CC9" w14:paraId="4B73371A" w14:textId="77777777" w:rsidTr="00F378A0">
        <w:trPr>
          <w:jc w:val="center"/>
        </w:trPr>
        <w:tc>
          <w:tcPr>
            <w:tcW w:w="154" w:type="pct"/>
          </w:tcPr>
          <w:p w14:paraId="4BC480CA" w14:textId="77777777" w:rsidR="00394753" w:rsidRPr="006E3CC9" w:rsidRDefault="00394753" w:rsidP="006A0D3E">
            <w:pPr>
              <w:jc w:val="center"/>
            </w:pPr>
            <w:r w:rsidRPr="006E3CC9">
              <w:t>12.</w:t>
            </w:r>
          </w:p>
        </w:tc>
        <w:tc>
          <w:tcPr>
            <w:tcW w:w="500" w:type="pct"/>
          </w:tcPr>
          <w:p w14:paraId="4C8D9F25" w14:textId="77777777" w:rsidR="00394753" w:rsidRPr="006E3CC9" w:rsidRDefault="00394753" w:rsidP="006A0D3E">
            <w:r w:rsidRPr="006E3CC9">
              <w:t>Определение участников торгов</w:t>
            </w:r>
          </w:p>
        </w:tc>
        <w:tc>
          <w:tcPr>
            <w:tcW w:w="4345" w:type="pct"/>
          </w:tcPr>
          <w:p w14:paraId="701F3F81" w14:textId="3F1ADF5A" w:rsidR="00394753" w:rsidRPr="006E3CC9" w:rsidRDefault="00394753" w:rsidP="006A0D3E">
            <w:pPr>
              <w:jc w:val="both"/>
            </w:pPr>
            <w:r w:rsidRPr="006E3CC9">
              <w:t xml:space="preserve">Решение организатора торгов о допуске заявителей к участию в торгах принимается в течение пяти дней по результатам рассмотрения всех представленных заявок на участие в </w:t>
            </w:r>
            <w:r w:rsidR="00F40E4B">
              <w:t>закрытых</w:t>
            </w:r>
            <w:r w:rsidRPr="006E3CC9">
              <w:t xml:space="preserve">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Федеральным законом «О несостоятельности (банкротстве)» и указанным в сообщении о проведении торгов. Заявители, допущенные к участию в торгах, признаются участниками торгов.</w:t>
            </w:r>
          </w:p>
          <w:p w14:paraId="79D43BBC" w14:textId="77777777" w:rsidR="00394753" w:rsidRPr="006E3CC9" w:rsidRDefault="00394753" w:rsidP="006A0D3E">
            <w:pPr>
              <w:jc w:val="both"/>
            </w:pPr>
            <w:r w:rsidRPr="006E3CC9">
              <w:t xml:space="preserve">Решение об отказе в допуске заявителя к участию в торгах принимается в случае, если: </w:t>
            </w:r>
          </w:p>
          <w:p w14:paraId="5E048F82" w14:textId="77777777" w:rsidR="00394753" w:rsidRPr="006E3CC9" w:rsidRDefault="00394753" w:rsidP="006A0D3E">
            <w:pPr>
              <w:jc w:val="both"/>
            </w:pPr>
            <w:r w:rsidRPr="006E3CC9">
              <w:t>заявка на участие в торгах не соответствует требованиям, установленным законодательством Российской Федерации и настоящим Предложением;</w:t>
            </w:r>
          </w:p>
          <w:p w14:paraId="700263F0" w14:textId="77777777" w:rsidR="00394753" w:rsidRPr="006E3CC9" w:rsidRDefault="00394753" w:rsidP="006A0D3E">
            <w:pPr>
              <w:jc w:val="both"/>
            </w:pPr>
            <w:r w:rsidRPr="006E3CC9">
              <w:t>представленные заявителем документы не соответствуют установленным к ним требованиям или сведения, содержащиеся в них, недостоверны;</w:t>
            </w:r>
          </w:p>
          <w:p w14:paraId="26C0D5BE" w14:textId="77777777" w:rsidR="00394753" w:rsidRPr="006E3CC9" w:rsidRDefault="00394753" w:rsidP="006A0D3E">
            <w:pPr>
              <w:jc w:val="both"/>
            </w:pPr>
            <w:r w:rsidRPr="006E3CC9">
              <w:t>поступление задатка на счет, указанный в сообщении о проведении торгов, не подтверждено на дату составления протокола об определении участников торгов.</w:t>
            </w:r>
          </w:p>
          <w:p w14:paraId="4ED48EB3" w14:textId="77777777" w:rsidR="00394753" w:rsidRPr="006E3CC9" w:rsidRDefault="00394753" w:rsidP="006A0D3E">
            <w:pPr>
              <w:jc w:val="both"/>
            </w:pPr>
            <w:r w:rsidRPr="006E3CC9">
              <w:t>Решение об отказе в допуске заявителя к участию в торгах направляется заявителю в течение двух дней после окончания срока принятия заявок.</w:t>
            </w:r>
          </w:p>
        </w:tc>
      </w:tr>
      <w:tr w:rsidR="00394753" w:rsidRPr="006E3CC9" w14:paraId="106A1EB1" w14:textId="77777777" w:rsidTr="00F378A0">
        <w:trPr>
          <w:jc w:val="center"/>
        </w:trPr>
        <w:tc>
          <w:tcPr>
            <w:tcW w:w="154" w:type="pct"/>
          </w:tcPr>
          <w:p w14:paraId="1E15C4A0" w14:textId="77777777" w:rsidR="00394753" w:rsidRPr="006E3CC9" w:rsidRDefault="00394753" w:rsidP="006A0D3E">
            <w:pPr>
              <w:jc w:val="center"/>
            </w:pPr>
            <w:r w:rsidRPr="006E3CC9">
              <w:t>13.</w:t>
            </w:r>
          </w:p>
        </w:tc>
        <w:tc>
          <w:tcPr>
            <w:tcW w:w="500" w:type="pct"/>
          </w:tcPr>
          <w:p w14:paraId="44250258" w14:textId="77777777" w:rsidR="00394753" w:rsidRPr="006E3CC9" w:rsidRDefault="00394753" w:rsidP="006A0D3E">
            <w:r w:rsidRPr="00CD2B08">
              <w:t>Порядок проведения торгов</w:t>
            </w:r>
          </w:p>
        </w:tc>
        <w:tc>
          <w:tcPr>
            <w:tcW w:w="4345" w:type="pct"/>
          </w:tcPr>
          <w:p w14:paraId="5AD7CA1A" w14:textId="65BA5455" w:rsidR="00394753" w:rsidRPr="006E3CC9" w:rsidRDefault="00394753" w:rsidP="006A0D3E">
            <w:pPr>
              <w:jc w:val="both"/>
            </w:pPr>
            <w:r w:rsidRPr="006E3CC9">
              <w:t xml:space="preserve">В </w:t>
            </w:r>
            <w:r w:rsidR="00F40E4B">
              <w:t>закрытых</w:t>
            </w:r>
            <w:r w:rsidRPr="006E3CC9">
              <w:t xml:space="preserve"> торгах могут принимать участие </w:t>
            </w:r>
            <w:r w:rsidR="00F40E4B" w:rsidRPr="006E3CC9">
              <w:t>только лица,</w:t>
            </w:r>
            <w:r w:rsidR="00F40E4B">
              <w:t xml:space="preserve"> </w:t>
            </w:r>
            <w:r w:rsidR="00F40E4B" w:rsidRPr="006E3CC9">
              <w:t>признанные участниками торгов</w:t>
            </w:r>
            <w:r w:rsidRPr="006E3CC9">
              <w:t xml:space="preserve">, </w:t>
            </w:r>
            <w:r w:rsidR="00F40E4B">
              <w:t>у которых есть лицензия на огнестрельное оружие</w:t>
            </w:r>
            <w:r w:rsidRPr="006E3CC9">
              <w:t xml:space="preserve">. </w:t>
            </w:r>
            <w:r w:rsidR="00CD2B08">
              <w:t xml:space="preserve">Закрытые </w:t>
            </w:r>
            <w:r w:rsidRPr="006E3CC9">
              <w:t xml:space="preserve">торги проводятся в день и время, указанные в сообщении о проведении </w:t>
            </w:r>
            <w:r w:rsidR="00CD2B08">
              <w:t>закрытых</w:t>
            </w:r>
            <w:r w:rsidRPr="006E3CC9">
              <w:t xml:space="preserve"> торгов</w:t>
            </w:r>
            <w:r w:rsidR="00F40E4B">
              <w:t>.</w:t>
            </w:r>
          </w:p>
          <w:p w14:paraId="23712302" w14:textId="2817D701" w:rsidR="00394753" w:rsidRPr="006E3CC9" w:rsidRDefault="00394753" w:rsidP="006A0D3E">
            <w:pPr>
              <w:jc w:val="both"/>
            </w:pPr>
            <w:r w:rsidRPr="006E3CC9">
              <w:t>Предложения о цене заявляются участниками торгов в ходе проведения торгов.</w:t>
            </w:r>
          </w:p>
          <w:p w14:paraId="4658DC38" w14:textId="77777777" w:rsidR="00394753" w:rsidRPr="006E3CC9" w:rsidRDefault="00394753" w:rsidP="006A0D3E">
            <w:pPr>
              <w:jc w:val="both"/>
            </w:pPr>
            <w:r w:rsidRPr="006E3CC9">
              <w:t>Аукцион проводится путем повышения начальной цены продажи на величину, кратную величине «шага аукциона».</w:t>
            </w:r>
          </w:p>
          <w:p w14:paraId="5A0517AD" w14:textId="5D822C5F" w:rsidR="00394753" w:rsidRPr="006E3CC9" w:rsidRDefault="00394753" w:rsidP="006A0D3E">
            <w:pPr>
              <w:jc w:val="both"/>
            </w:pPr>
            <w:r w:rsidRPr="006E3CC9">
              <w:t xml:space="preserve">Победителем </w:t>
            </w:r>
            <w:r w:rsidR="00F40E4B">
              <w:t>закрытых</w:t>
            </w:r>
            <w:r w:rsidRPr="006E3CC9">
              <w:t xml:space="preserve"> торгов признается участник торгов, предложивший наиболее высокую цену.</w:t>
            </w:r>
          </w:p>
        </w:tc>
      </w:tr>
      <w:tr w:rsidR="00394753" w:rsidRPr="006E3CC9" w14:paraId="40973BEB" w14:textId="77777777" w:rsidTr="00F378A0">
        <w:trPr>
          <w:jc w:val="center"/>
        </w:trPr>
        <w:tc>
          <w:tcPr>
            <w:tcW w:w="154" w:type="pct"/>
          </w:tcPr>
          <w:p w14:paraId="522833C8" w14:textId="77777777" w:rsidR="00394753" w:rsidRPr="006E3CC9" w:rsidRDefault="00394753" w:rsidP="006A0D3E">
            <w:pPr>
              <w:jc w:val="center"/>
            </w:pPr>
            <w:r w:rsidRPr="006E3CC9">
              <w:t>14.</w:t>
            </w:r>
          </w:p>
        </w:tc>
        <w:tc>
          <w:tcPr>
            <w:tcW w:w="500" w:type="pct"/>
          </w:tcPr>
          <w:p w14:paraId="6B57646F" w14:textId="77777777" w:rsidR="00394753" w:rsidRPr="006E3CC9" w:rsidRDefault="00394753" w:rsidP="006A0D3E">
            <w:r w:rsidRPr="006E3CC9">
              <w:t>Подведение результатов торгов</w:t>
            </w:r>
          </w:p>
        </w:tc>
        <w:tc>
          <w:tcPr>
            <w:tcW w:w="4345" w:type="pct"/>
          </w:tcPr>
          <w:p w14:paraId="12B4DBEE" w14:textId="65ED0DEE" w:rsidR="00394753" w:rsidRPr="006E3CC9" w:rsidRDefault="00394753" w:rsidP="006A0D3E">
            <w:pPr>
              <w:jc w:val="both"/>
            </w:pPr>
            <w:r w:rsidRPr="006E3CC9">
              <w:t>По результатам проведения торгов организатор подписывает протокол о результатах проведения торгов.</w:t>
            </w:r>
          </w:p>
          <w:p w14:paraId="3F65F8A0" w14:textId="77777777" w:rsidR="00394753" w:rsidRPr="006E3CC9" w:rsidRDefault="00394753" w:rsidP="006A0D3E">
            <w:pPr>
              <w:jc w:val="both"/>
            </w:pPr>
            <w:r w:rsidRPr="006E3CC9">
              <w:t>Организатор торгов в течение трех дней после проведения торгов размещает в Едином федеральном реестре сведений о банкротстве сообщение о результатах торгов с приложением протокола о результатах торгов.</w:t>
            </w:r>
          </w:p>
          <w:p w14:paraId="45FFF0AF" w14:textId="77777777" w:rsidR="00394753" w:rsidRPr="006E3CC9" w:rsidRDefault="00394753" w:rsidP="006A0D3E">
            <w:pPr>
              <w:jc w:val="both"/>
              <w:rPr>
                <w:b/>
                <w:bCs/>
              </w:rPr>
            </w:pPr>
            <w:r w:rsidRPr="006E3CC9">
              <w:rPr>
                <w:b/>
                <w:bCs/>
              </w:rPr>
              <w:t xml:space="preserve">В случае, если не были представлены заявки на участие в торгах или к участию в торгах был допущен только один участник, организатор </w:t>
            </w:r>
            <w:r w:rsidRPr="006E3CC9">
              <w:rPr>
                <w:b/>
                <w:bCs/>
              </w:rPr>
              <w:lastRenderedPageBreak/>
              <w:t>торгов принимает решение о признании торгов несостоявшимися.</w:t>
            </w:r>
          </w:p>
          <w:p w14:paraId="06C14C42" w14:textId="77777777" w:rsidR="00394753" w:rsidRPr="006E3CC9" w:rsidRDefault="00394753" w:rsidP="006A0D3E">
            <w:pPr>
              <w:jc w:val="both"/>
            </w:pPr>
            <w:r w:rsidRPr="006E3CC9">
              <w:t>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w:t>
            </w:r>
          </w:p>
        </w:tc>
      </w:tr>
      <w:tr w:rsidR="00394753" w:rsidRPr="006E3CC9" w14:paraId="57443C59" w14:textId="77777777" w:rsidTr="00F378A0">
        <w:trPr>
          <w:jc w:val="center"/>
        </w:trPr>
        <w:tc>
          <w:tcPr>
            <w:tcW w:w="154" w:type="pct"/>
          </w:tcPr>
          <w:p w14:paraId="04E28C34" w14:textId="77777777" w:rsidR="00394753" w:rsidRPr="006E3CC9" w:rsidRDefault="00394753" w:rsidP="006A0D3E">
            <w:pPr>
              <w:jc w:val="center"/>
              <w:rPr>
                <w:lang w:val="en-US"/>
              </w:rPr>
            </w:pPr>
            <w:r w:rsidRPr="006E3CC9">
              <w:rPr>
                <w:lang w:val="en-US"/>
              </w:rPr>
              <w:lastRenderedPageBreak/>
              <w:t>15.</w:t>
            </w:r>
          </w:p>
        </w:tc>
        <w:tc>
          <w:tcPr>
            <w:tcW w:w="500" w:type="pct"/>
          </w:tcPr>
          <w:p w14:paraId="0229549A" w14:textId="77777777" w:rsidR="00394753" w:rsidRPr="006E3CC9" w:rsidRDefault="00394753" w:rsidP="006A0D3E">
            <w:r w:rsidRPr="006E3CC9">
              <w:t>Порядок и срок заключения договора купли-продажи имущества</w:t>
            </w:r>
          </w:p>
        </w:tc>
        <w:tc>
          <w:tcPr>
            <w:tcW w:w="4345" w:type="pct"/>
          </w:tcPr>
          <w:p w14:paraId="069F43C8" w14:textId="77777777" w:rsidR="00394753" w:rsidRPr="006E3CC9" w:rsidRDefault="00394753" w:rsidP="006A0D3E">
            <w:pPr>
              <w:jc w:val="both"/>
            </w:pPr>
            <w:r w:rsidRPr="006E3CC9">
              <w:t>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w:t>
            </w:r>
          </w:p>
          <w:p w14:paraId="26F80D1A" w14:textId="77777777" w:rsidR="00394753" w:rsidRPr="006E3CC9" w:rsidRDefault="00394753" w:rsidP="006A0D3E">
            <w:pPr>
              <w:jc w:val="both"/>
            </w:pPr>
            <w:r w:rsidRPr="006E3CC9">
              <w:t>Договор купли-продажи имущества должен быть заключен в течение пяти дней с даты получения победителем торгов предложения о заключении данного договора.</w:t>
            </w:r>
          </w:p>
          <w:p w14:paraId="151B66D2" w14:textId="77777777" w:rsidR="00394753" w:rsidRPr="006E3CC9" w:rsidRDefault="00394753" w:rsidP="006A0D3E">
            <w:pPr>
              <w:jc w:val="both"/>
            </w:pPr>
            <w:r w:rsidRPr="006E3CC9">
              <w:t>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rsidR="00CC5712" w:rsidRPr="006E3CC9" w14:paraId="68958EE4" w14:textId="77777777" w:rsidTr="00F378A0">
        <w:trPr>
          <w:jc w:val="center"/>
        </w:trPr>
        <w:tc>
          <w:tcPr>
            <w:tcW w:w="154" w:type="pct"/>
          </w:tcPr>
          <w:p w14:paraId="6FCC1169" w14:textId="77777777" w:rsidR="00CC5712" w:rsidRPr="006E3CC9" w:rsidRDefault="00CC5712" w:rsidP="006A0D3E">
            <w:pPr>
              <w:jc w:val="center"/>
            </w:pPr>
            <w:r w:rsidRPr="006E3CC9">
              <w:t>1</w:t>
            </w:r>
            <w:r w:rsidR="00050F53" w:rsidRPr="006E3CC9">
              <w:rPr>
                <w:lang w:val="en-US"/>
              </w:rPr>
              <w:t>6</w:t>
            </w:r>
            <w:r w:rsidRPr="006E3CC9">
              <w:t>.</w:t>
            </w:r>
          </w:p>
        </w:tc>
        <w:tc>
          <w:tcPr>
            <w:tcW w:w="500" w:type="pct"/>
          </w:tcPr>
          <w:p w14:paraId="02C4E109" w14:textId="77777777" w:rsidR="00CC5712" w:rsidRPr="006E3CC9" w:rsidRDefault="00CC5712" w:rsidP="006A0D3E">
            <w:r w:rsidRPr="006E3CC9">
              <w:t>Условия возврата задатка</w:t>
            </w:r>
          </w:p>
        </w:tc>
        <w:tc>
          <w:tcPr>
            <w:tcW w:w="4345" w:type="pct"/>
          </w:tcPr>
          <w:p w14:paraId="55F9BB5C" w14:textId="77777777" w:rsidR="00CC5712" w:rsidRPr="006E3CC9" w:rsidRDefault="00EE2383" w:rsidP="006A0D3E">
            <w:pPr>
              <w:jc w:val="both"/>
            </w:pPr>
            <w:r w:rsidRPr="006E3CC9">
              <w:t>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w:t>
            </w:r>
          </w:p>
        </w:tc>
      </w:tr>
      <w:tr w:rsidR="00CC5712" w:rsidRPr="006E3CC9" w14:paraId="2CB5D444" w14:textId="77777777" w:rsidTr="00F378A0">
        <w:trPr>
          <w:jc w:val="center"/>
        </w:trPr>
        <w:tc>
          <w:tcPr>
            <w:tcW w:w="154" w:type="pct"/>
          </w:tcPr>
          <w:p w14:paraId="4C97A2D5" w14:textId="77777777" w:rsidR="00CC5712" w:rsidRPr="006E3CC9" w:rsidRDefault="00CC5712" w:rsidP="006A0D3E">
            <w:pPr>
              <w:jc w:val="center"/>
            </w:pPr>
            <w:r w:rsidRPr="006E3CC9">
              <w:t>1</w:t>
            </w:r>
            <w:r w:rsidR="00050F53" w:rsidRPr="006E3CC9">
              <w:rPr>
                <w:lang w:val="en-US"/>
              </w:rPr>
              <w:t>7</w:t>
            </w:r>
            <w:r w:rsidRPr="006E3CC9">
              <w:t>.</w:t>
            </w:r>
          </w:p>
        </w:tc>
        <w:tc>
          <w:tcPr>
            <w:tcW w:w="500" w:type="pct"/>
          </w:tcPr>
          <w:p w14:paraId="704EB5B2" w14:textId="77777777" w:rsidR="00CC5712" w:rsidRPr="006E3CC9" w:rsidRDefault="00CC5712" w:rsidP="006A0D3E">
            <w:r w:rsidRPr="006E3CC9">
              <w:t>Условия оплаты имущества</w:t>
            </w:r>
          </w:p>
        </w:tc>
        <w:tc>
          <w:tcPr>
            <w:tcW w:w="4345" w:type="pct"/>
          </w:tcPr>
          <w:p w14:paraId="169D5238" w14:textId="77777777" w:rsidR="00EE2383" w:rsidRPr="006E3CC9" w:rsidRDefault="00EE2383" w:rsidP="006A0D3E">
            <w:pPr>
              <w:jc w:val="both"/>
            </w:pPr>
            <w:r w:rsidRPr="006E3CC9">
              <w:t>Победитель торгов перечисляет денежные средства в оплату приобретенного имущества в течение пяти рабочих дней со дня подписания договора купли-продажи имущества по реквизитам, указанным в договоре.</w:t>
            </w:r>
          </w:p>
          <w:p w14:paraId="2C67FF31" w14:textId="77777777" w:rsidR="00CC5712" w:rsidRPr="006E3CC9" w:rsidRDefault="00EE2383" w:rsidP="006A0D3E">
            <w:pPr>
              <w:jc w:val="both"/>
            </w:pPr>
            <w:r w:rsidRPr="006E3CC9">
              <w:t>При заключении договора с лицом, выигравшим торги, сумма внесенного им задатка засчитывается в счет исполнения договора.</w:t>
            </w:r>
          </w:p>
        </w:tc>
      </w:tr>
      <w:tr w:rsidR="00CC5712" w:rsidRPr="006E3CC9" w14:paraId="0C0F4872" w14:textId="77777777" w:rsidTr="00F378A0">
        <w:trPr>
          <w:jc w:val="center"/>
        </w:trPr>
        <w:tc>
          <w:tcPr>
            <w:tcW w:w="154" w:type="pct"/>
          </w:tcPr>
          <w:p w14:paraId="569D09E5" w14:textId="77777777" w:rsidR="00CC5712" w:rsidRPr="006E3CC9" w:rsidRDefault="00CC5712" w:rsidP="006A0D3E">
            <w:pPr>
              <w:jc w:val="center"/>
            </w:pPr>
            <w:r w:rsidRPr="006E3CC9">
              <w:t>1</w:t>
            </w:r>
            <w:r w:rsidR="00050F53" w:rsidRPr="006E3CC9">
              <w:rPr>
                <w:lang w:val="en-US"/>
              </w:rPr>
              <w:t>8</w:t>
            </w:r>
            <w:r w:rsidRPr="006E3CC9">
              <w:t>.</w:t>
            </w:r>
          </w:p>
        </w:tc>
        <w:tc>
          <w:tcPr>
            <w:tcW w:w="500" w:type="pct"/>
          </w:tcPr>
          <w:p w14:paraId="6191842F" w14:textId="77777777" w:rsidR="00CC5712" w:rsidRPr="006E3CC9" w:rsidRDefault="00CC5712" w:rsidP="006A0D3E">
            <w:r w:rsidRPr="006E3CC9">
              <w:t>Оформление договора купли-продажи имущества</w:t>
            </w:r>
          </w:p>
        </w:tc>
        <w:tc>
          <w:tcPr>
            <w:tcW w:w="4345" w:type="pct"/>
          </w:tcPr>
          <w:p w14:paraId="2688F1CB" w14:textId="77777777" w:rsidR="00EE2383" w:rsidRPr="006E3CC9" w:rsidRDefault="00EE2383" w:rsidP="006A0D3E">
            <w:pPr>
              <w:jc w:val="both"/>
            </w:pPr>
            <w:r w:rsidRPr="006E3CC9">
              <w:t>Обязательными условиями договора купли-продажи имущества являются:</w:t>
            </w:r>
          </w:p>
          <w:p w14:paraId="6EB0AFBE" w14:textId="77777777" w:rsidR="00EE2383" w:rsidRPr="006E3CC9" w:rsidRDefault="00EE2383" w:rsidP="006A0D3E">
            <w:pPr>
              <w:jc w:val="both"/>
            </w:pPr>
            <w:r w:rsidRPr="006E3CC9">
              <w:t>сведения об имуществе, его составе, характеристиках, описание имущества;</w:t>
            </w:r>
          </w:p>
          <w:p w14:paraId="0B52F24E" w14:textId="77777777" w:rsidR="00EE2383" w:rsidRPr="006E3CC9" w:rsidRDefault="00EE2383" w:rsidP="006A0D3E">
            <w:pPr>
              <w:jc w:val="both"/>
            </w:pPr>
            <w:r w:rsidRPr="006E3CC9">
              <w:t>цена продажи имущества;</w:t>
            </w:r>
          </w:p>
          <w:p w14:paraId="08264B91" w14:textId="77777777" w:rsidR="00EE2383" w:rsidRPr="006E3CC9" w:rsidRDefault="00EE2383" w:rsidP="006A0D3E">
            <w:pPr>
              <w:jc w:val="both"/>
            </w:pPr>
            <w:r w:rsidRPr="006E3CC9">
              <w:t>порядок и срок передачи имущества покупателю;</w:t>
            </w:r>
          </w:p>
          <w:p w14:paraId="402DBA1D" w14:textId="77777777" w:rsidR="00EE2383" w:rsidRDefault="00EE2383" w:rsidP="006A0D3E">
            <w:pPr>
              <w:jc w:val="both"/>
            </w:pPr>
            <w:r w:rsidRPr="006E3CC9">
              <w:t>сведения о наличии или об отсутствии обременении в отношении имущества, в том числе публичного сервитута;</w:t>
            </w:r>
          </w:p>
          <w:p w14:paraId="59A2C972" w14:textId="6281AF41" w:rsidR="00DC5712" w:rsidRPr="006E3CC9" w:rsidRDefault="00DC5712" w:rsidP="006A0D3E">
            <w:pPr>
              <w:jc w:val="both"/>
            </w:pPr>
            <w:r>
              <w:t>наличие специального разрешения на оружие;</w:t>
            </w:r>
          </w:p>
          <w:p w14:paraId="3549CC78" w14:textId="77777777" w:rsidR="00EE2383" w:rsidRPr="006E3CC9" w:rsidRDefault="00EE2383" w:rsidP="006A0D3E">
            <w:pPr>
              <w:jc w:val="both"/>
            </w:pPr>
            <w:r w:rsidRPr="006E3CC9">
              <w:t>иные предусмотренные законодательством Российской Федерации условия.</w:t>
            </w:r>
          </w:p>
          <w:p w14:paraId="6B35DA94" w14:textId="77777777" w:rsidR="00CC5712" w:rsidRPr="006E3CC9" w:rsidRDefault="00EE2383" w:rsidP="006A0D3E">
            <w:pPr>
              <w:jc w:val="both"/>
            </w:pPr>
            <w:r w:rsidRPr="006E3CC9">
              <w:t>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w:t>
            </w:r>
          </w:p>
        </w:tc>
      </w:tr>
      <w:tr w:rsidR="00CC5712" w:rsidRPr="006E3CC9" w14:paraId="392AB01A" w14:textId="77777777" w:rsidTr="00F378A0">
        <w:trPr>
          <w:jc w:val="center"/>
        </w:trPr>
        <w:tc>
          <w:tcPr>
            <w:tcW w:w="154" w:type="pct"/>
          </w:tcPr>
          <w:p w14:paraId="415AE773" w14:textId="77777777" w:rsidR="00CC5712" w:rsidRPr="006E3CC9" w:rsidRDefault="00CC5712" w:rsidP="006A0D3E">
            <w:pPr>
              <w:jc w:val="center"/>
            </w:pPr>
            <w:r w:rsidRPr="006E3CC9">
              <w:t>1</w:t>
            </w:r>
            <w:r w:rsidR="00050F53" w:rsidRPr="006E3CC9">
              <w:rPr>
                <w:lang w:val="en-US"/>
              </w:rPr>
              <w:t>9</w:t>
            </w:r>
            <w:r w:rsidRPr="006E3CC9">
              <w:t>.</w:t>
            </w:r>
          </w:p>
        </w:tc>
        <w:tc>
          <w:tcPr>
            <w:tcW w:w="500" w:type="pct"/>
          </w:tcPr>
          <w:p w14:paraId="576DFCCB" w14:textId="77777777" w:rsidR="00CC5712" w:rsidRPr="006E3CC9" w:rsidRDefault="00CC5712" w:rsidP="006A0D3E">
            <w:r w:rsidRPr="006E3CC9">
              <w:t>Проведение повторных торгов</w:t>
            </w:r>
          </w:p>
        </w:tc>
        <w:tc>
          <w:tcPr>
            <w:tcW w:w="4345" w:type="pct"/>
          </w:tcPr>
          <w:p w14:paraId="3187E5AB" w14:textId="7A4683EC" w:rsidR="00BB2088" w:rsidRPr="006E3CC9" w:rsidRDefault="00BB2088" w:rsidP="00BB2088">
            <w:pPr>
              <w:jc w:val="both"/>
            </w:pPr>
            <w:r w:rsidRPr="006E3CC9">
              <w:t xml:space="preserve">В случае, если </w:t>
            </w:r>
            <w:r w:rsidRPr="006E3CC9">
              <w:rPr>
                <w:b/>
                <w:bCs/>
              </w:rPr>
              <w:t>ПЕРВЫЕ ТОРГИ</w:t>
            </w:r>
            <w:r w:rsidRPr="006E3CC9">
              <w:t xml:space="preserve"> по продаже имущества должника признаны несостоявшимися или договор купли-продажи не был заключен с их единственным участником, а также в случае не заключения договора купли-продажи по результатам торгов продаваемое на торгах имущество должника подлежит продаже посредством организации </w:t>
            </w:r>
            <w:r w:rsidRPr="006E3CC9">
              <w:rPr>
                <w:b/>
                <w:bCs/>
              </w:rPr>
              <w:t>ВТОРЫХ</w:t>
            </w:r>
            <w:r w:rsidRPr="006E3CC9">
              <w:t xml:space="preserve"> </w:t>
            </w:r>
            <w:r w:rsidR="00DC5712">
              <w:t>закрытых</w:t>
            </w:r>
            <w:r w:rsidRPr="006E3CC9">
              <w:t xml:space="preserve"> торгов в форме аукциона с предложением по цене </w:t>
            </w:r>
          </w:p>
          <w:p w14:paraId="45829681" w14:textId="66F06B39" w:rsidR="00BB2088" w:rsidRPr="006E3CC9" w:rsidRDefault="00BB2088" w:rsidP="00BB2088">
            <w:pPr>
              <w:numPr>
                <w:ilvl w:val="0"/>
                <w:numId w:val="1"/>
              </w:numPr>
              <w:jc w:val="both"/>
            </w:pPr>
            <w:r w:rsidRPr="006E3CC9">
              <w:t xml:space="preserve">Размер задатка </w:t>
            </w:r>
            <w:r w:rsidR="001378FB">
              <w:t>–</w:t>
            </w:r>
            <w:r>
              <w:t xml:space="preserve"> 20</w:t>
            </w:r>
            <w:r w:rsidR="001378FB">
              <w:t xml:space="preserve"> %</w:t>
            </w:r>
            <w:r w:rsidR="005310EE" w:rsidRPr="006E3CC9">
              <w:rPr>
                <w:b/>
                <w:bCs/>
              </w:rPr>
              <w:t xml:space="preserve"> </w:t>
            </w:r>
            <w:r w:rsidRPr="006E3CC9">
              <w:t>начальной цены лота.</w:t>
            </w:r>
            <w:r w:rsidR="00DF1010" w:rsidRPr="006E3CC9">
              <w:t xml:space="preserve"> </w:t>
            </w:r>
          </w:p>
          <w:p w14:paraId="3DD4B458" w14:textId="79B2D3DD" w:rsidR="00BB2088" w:rsidRPr="006E3CC9" w:rsidRDefault="00BB2088" w:rsidP="00BB2088">
            <w:pPr>
              <w:numPr>
                <w:ilvl w:val="0"/>
                <w:numId w:val="1"/>
              </w:numPr>
              <w:jc w:val="both"/>
            </w:pPr>
            <w:r w:rsidRPr="006E3CC9">
              <w:t>Шаг аукциона</w:t>
            </w:r>
            <w:r w:rsidR="00536CA8" w:rsidRPr="006E3CC9">
              <w:t xml:space="preserve"> </w:t>
            </w:r>
            <w:r w:rsidR="001378FB">
              <w:t>–</w:t>
            </w:r>
            <w:r>
              <w:t xml:space="preserve"> 5</w:t>
            </w:r>
            <w:r w:rsidR="001378FB">
              <w:t xml:space="preserve"> % </w:t>
            </w:r>
            <w:r w:rsidRPr="006E3CC9">
              <w:t>начальной цены лота.</w:t>
            </w:r>
            <w:r w:rsidR="00DF1010" w:rsidRPr="006E3CC9">
              <w:t xml:space="preserve"> </w:t>
            </w:r>
          </w:p>
          <w:p w14:paraId="241779E0" w14:textId="0B37D57D" w:rsidR="00BB2088" w:rsidRPr="006E3CC9" w:rsidRDefault="00BB2088" w:rsidP="00BB2088">
            <w:pPr>
              <w:jc w:val="both"/>
            </w:pPr>
            <w:r w:rsidRPr="006E3CC9">
              <w:t xml:space="preserve">Сообщение о продаже имущества публикуется в Едином федеральном реестре сведений о банкротстве и на площадке </w:t>
            </w:r>
            <w:r w:rsidR="00A87D7A" w:rsidRPr="006E3CC9">
              <w:t xml:space="preserve"> </w:t>
            </w:r>
            <w:r w:rsidRPr="006E3CC9">
              <w:t>в срок не позднее, чем за 30 (тридцать) рабочих дней до даты проведения торгов.</w:t>
            </w:r>
          </w:p>
          <w:p w14:paraId="4B052FCC" w14:textId="05239358" w:rsidR="00BB2088" w:rsidRPr="006E3CC9" w:rsidRDefault="00BB2088" w:rsidP="006007EA">
            <w:pPr>
              <w:jc w:val="both"/>
            </w:pPr>
            <w:r w:rsidRPr="006E3CC9">
              <w:t xml:space="preserve">      Начальная цена продажи имущества посредством ВТОРЫХ </w:t>
            </w:r>
            <w:r w:rsidR="00DC5712">
              <w:t>закрытых</w:t>
            </w:r>
            <w:r w:rsidR="00DC5712" w:rsidRPr="006E3CC9">
              <w:t xml:space="preserve"> торгов в форме аукциона с предложением по цене </w:t>
            </w:r>
            <w:r w:rsidRPr="006E3CC9">
              <w:t xml:space="preserve">устанавливается в размере начальной цены, указанной в сообщении о продаже имущества должника на ПЕРВЫХ </w:t>
            </w:r>
            <w:r w:rsidR="0007594F">
              <w:t>закрытых</w:t>
            </w:r>
            <w:r w:rsidRPr="006E3CC9">
              <w:t xml:space="preserve"> торгах с величиной снижения относительно начальной цены в размере </w:t>
            </w:r>
            <w:r w:rsidR="008906A3" w:rsidRPr="006E3CC9">
              <w:rPr>
                <w:b/>
                <w:bCs/>
              </w:rPr>
              <w:t>10</w:t>
            </w:r>
            <w:r w:rsidRPr="006E3CC9">
              <w:rPr>
                <w:b/>
                <w:bCs/>
              </w:rPr>
              <w:t>%.</w:t>
            </w:r>
            <w:r w:rsidR="00DF1010" w:rsidRPr="006E3CC9">
              <w:rPr>
                <w:b/>
                <w:bCs/>
              </w:rPr>
              <w:t xml:space="preserve"> </w:t>
            </w:r>
            <w:r w:rsidRPr="006E3CC9">
              <w:t xml:space="preserve">Срок внесения задатка - не позднее даты окончания срока приема заявок на участие в торгах. </w:t>
            </w:r>
          </w:p>
          <w:p w14:paraId="2107894A" w14:textId="77777777" w:rsidR="00CC5712" w:rsidRPr="006E3CC9" w:rsidRDefault="00BB2088" w:rsidP="00BB2088">
            <w:r w:rsidRPr="006E3CC9">
              <w:t>Внесение задатка осуществляется по реквизитам, указанным в объявлении о торгах.</w:t>
            </w:r>
          </w:p>
        </w:tc>
      </w:tr>
      <w:tr w:rsidR="00166D7D" w:rsidRPr="006E3CC9" w14:paraId="52E01E47" w14:textId="77777777" w:rsidTr="00F378A0">
        <w:trPr>
          <w:jc w:val="center"/>
        </w:trPr>
        <w:tc>
          <w:tcPr>
            <w:tcW w:w="154" w:type="pct"/>
          </w:tcPr>
          <w:p w14:paraId="35B2B594" w14:textId="77777777" w:rsidR="00166D7D" w:rsidRPr="006E3CC9" w:rsidRDefault="00166D7D" w:rsidP="006A0D3E">
            <w:pPr>
              <w:jc w:val="center"/>
            </w:pPr>
            <w:r w:rsidRPr="006E3CC9">
              <w:rPr>
                <w:lang w:val="en-US"/>
              </w:rPr>
              <w:t>20</w:t>
            </w:r>
            <w:r w:rsidRPr="006E3CC9">
              <w:t>.</w:t>
            </w:r>
          </w:p>
        </w:tc>
        <w:tc>
          <w:tcPr>
            <w:tcW w:w="500" w:type="pct"/>
          </w:tcPr>
          <w:p w14:paraId="23ECCA54" w14:textId="77777777" w:rsidR="00166D7D" w:rsidRPr="006E3CC9" w:rsidRDefault="00166D7D" w:rsidP="006A0D3E">
            <w:r w:rsidRPr="006E3CC9">
              <w:t>Продажа имущества посредством публичного предложения</w:t>
            </w:r>
          </w:p>
        </w:tc>
        <w:tc>
          <w:tcPr>
            <w:tcW w:w="4345" w:type="pct"/>
          </w:tcPr>
          <w:p w14:paraId="4E1AD101" w14:textId="77777777" w:rsidR="00166D7D" w:rsidRPr="006E3CC9" w:rsidRDefault="00166D7D" w:rsidP="006A0D3E">
            <w:pPr>
              <w:jc w:val="both"/>
            </w:pPr>
            <w:r w:rsidRPr="006E3CC9">
              <w:t>В случае, если торги по продаже имущества должника признаны несостоявшимися или договор купли-продажи не был заключен с их единственным участником, а также в случае незаключения договора купли-продажи по результатам торгов продаваемое на торгах имущество должника подлежит продаже посредством публичного предложения.</w:t>
            </w:r>
          </w:p>
          <w:p w14:paraId="75D1010E" w14:textId="02D684A3" w:rsidR="00166D7D" w:rsidRPr="006E3CC9" w:rsidRDefault="00166D7D" w:rsidP="002F34B1">
            <w:pPr>
              <w:numPr>
                <w:ilvl w:val="0"/>
                <w:numId w:val="2"/>
              </w:numPr>
              <w:jc w:val="both"/>
              <w:rPr>
                <w:b/>
                <w:bCs/>
              </w:rPr>
            </w:pPr>
            <w:r w:rsidRPr="006E3CC9">
              <w:rPr>
                <w:b/>
                <w:bCs/>
              </w:rPr>
              <w:t xml:space="preserve">Величина снижения начальной цены продажи имущества должника </w:t>
            </w:r>
            <w:r w:rsidR="001378FB">
              <w:rPr>
                <w:bCs/>
              </w:rPr>
              <w:t>–</w:t>
            </w:r>
            <w:r>
              <w:rPr>
                <w:bCs/>
              </w:rPr>
              <w:t xml:space="preserve"> 3</w:t>
            </w:r>
            <w:r w:rsidR="001378FB">
              <w:rPr>
                <w:bCs/>
              </w:rPr>
              <w:t xml:space="preserve"> %</w:t>
            </w:r>
          </w:p>
          <w:p w14:paraId="6E22734A" w14:textId="77777777" w:rsidR="00166D7D" w:rsidRPr="006E3CC9" w:rsidRDefault="00166D7D" w:rsidP="006A0D3E">
            <w:pPr>
              <w:jc w:val="both"/>
            </w:pPr>
            <w:r w:rsidRPr="006E3CC9">
              <w:t>Срок, по истечении которого последовательно снижается начальная цена – каждый календарный день.</w:t>
            </w:r>
          </w:p>
          <w:p w14:paraId="3AADCBCE" w14:textId="77777777" w:rsidR="00166D7D" w:rsidRPr="006E3CC9" w:rsidRDefault="00166D7D" w:rsidP="006A0D3E">
            <w:pPr>
              <w:jc w:val="both"/>
            </w:pPr>
            <w:r w:rsidRPr="006E3CC9">
              <w:t xml:space="preserve">Предложение начинает действовать с 21-го календарного дня после опубликования сообщения о продаже имущества посредством публичного предложения и действует в течение 24-х календарных дней. </w:t>
            </w:r>
          </w:p>
          <w:p w14:paraId="3870634C" w14:textId="2AF59505" w:rsidR="00166D7D" w:rsidRPr="006E3CC9" w:rsidRDefault="00166D7D" w:rsidP="006A0D3E">
            <w:pPr>
              <w:jc w:val="both"/>
            </w:pPr>
            <w:r w:rsidRPr="006E3CC9">
              <w:t xml:space="preserve">Начальная цена продажи имущества посредством публичного предложения устанавливается в размере начальной цены, указанной в сообщении о </w:t>
            </w:r>
            <w:r w:rsidRPr="006E3CC9">
              <w:lastRenderedPageBreak/>
              <w:t xml:space="preserve">продаже имущества должника на </w:t>
            </w:r>
            <w:r w:rsidR="0007594F">
              <w:t>закрытых</w:t>
            </w:r>
            <w:r w:rsidRPr="006E3CC9">
              <w:t xml:space="preserve"> торгах.</w:t>
            </w:r>
          </w:p>
          <w:p w14:paraId="4A9E1CB2" w14:textId="36821AB6" w:rsidR="00166D7D" w:rsidRPr="006E3CC9" w:rsidRDefault="00166D7D" w:rsidP="002F34B1">
            <w:pPr>
              <w:numPr>
                <w:ilvl w:val="0"/>
                <w:numId w:val="2"/>
              </w:numPr>
              <w:jc w:val="both"/>
              <w:rPr>
                <w:b/>
                <w:bCs/>
              </w:rPr>
            </w:pPr>
            <w:r w:rsidRPr="006E3CC9">
              <w:rPr>
                <w:b/>
                <w:bCs/>
              </w:rPr>
              <w:t xml:space="preserve">Минимальная цена предложения (цена отсечения) для имущества составляет </w:t>
            </w:r>
            <w:r>
              <w:rPr>
                <w:bCs/>
              </w:rPr>
              <w:t xml:space="preserve">  - 28</w:t>
            </w:r>
            <w:r w:rsidR="001378FB">
              <w:rPr>
                <w:bCs/>
              </w:rPr>
              <w:t xml:space="preserve"> % </w:t>
            </w:r>
            <w:r w:rsidRPr="006E3CC9">
              <w:rPr>
                <w:b/>
                <w:bCs/>
              </w:rPr>
              <w:t>от начальной цены.</w:t>
            </w:r>
          </w:p>
          <w:p w14:paraId="2EBFBA72" w14:textId="66180773" w:rsidR="00166D7D" w:rsidRPr="006E3CC9" w:rsidRDefault="00166D7D" w:rsidP="002F34B1">
            <w:pPr>
              <w:numPr>
                <w:ilvl w:val="0"/>
                <w:numId w:val="2"/>
              </w:numPr>
              <w:jc w:val="both"/>
              <w:rPr>
                <w:b/>
                <w:bCs/>
              </w:rPr>
            </w:pPr>
            <w:r w:rsidRPr="006E3CC9">
              <w:rPr>
                <w:b/>
                <w:bCs/>
              </w:rPr>
              <w:t xml:space="preserve">Размер задатка </w:t>
            </w:r>
            <w:r w:rsidR="001378FB">
              <w:rPr>
                <w:bCs/>
              </w:rPr>
              <w:t>–</w:t>
            </w:r>
            <w:r>
              <w:rPr>
                <w:bCs/>
              </w:rPr>
              <w:t xml:space="preserve"> 20</w:t>
            </w:r>
            <w:r w:rsidR="001378FB">
              <w:rPr>
                <w:bCs/>
              </w:rPr>
              <w:t xml:space="preserve"> % </w:t>
            </w:r>
            <w:r w:rsidRPr="006E3CC9">
              <w:rPr>
                <w:b/>
                <w:bCs/>
              </w:rPr>
              <w:t>от начальной цены, установленной для соответствующего периода проведения торгов.</w:t>
            </w:r>
          </w:p>
          <w:p w14:paraId="0C6082D4" w14:textId="77777777" w:rsidR="00166D7D" w:rsidRPr="006E3CC9" w:rsidRDefault="00166D7D" w:rsidP="006A0D3E">
            <w:pPr>
              <w:jc w:val="both"/>
            </w:pPr>
            <w:r w:rsidRPr="006E3CC9">
              <w:t>После окончания периода, в котором действует минимальная цена предложения, прием заявок на участие в торгах прекращается.</w:t>
            </w:r>
          </w:p>
          <w:p w14:paraId="6D87C991" w14:textId="7751C71B" w:rsidR="00166D7D" w:rsidRPr="006E3CC9" w:rsidRDefault="00166D7D" w:rsidP="006A0D3E">
            <w:pPr>
              <w:shd w:val="clear" w:color="auto" w:fill="FFFFFF"/>
              <w:jc w:val="both"/>
            </w:pPr>
            <w:r w:rsidRPr="006E3CC9">
              <w:t xml:space="preserve">Победителем </w:t>
            </w:r>
            <w:r w:rsidR="00DC5712">
              <w:t>закрытых</w:t>
            </w:r>
            <w:r w:rsidRPr="006E3CC9">
              <w:t xml:space="preserve"> торгов по продаже имущества должника посредством публичного предложения признается участник </w:t>
            </w:r>
            <w:r w:rsidR="0007594F">
              <w:t>закрытых</w:t>
            </w:r>
            <w:r w:rsidRPr="006E3CC9">
              <w:t xml:space="preserve"> торгов, который первым представил в установленный срок заявку на участие в торгах, содержащую цену продажи имущества должника, которая не ниже начальной цены продажи имущества должника, установленной для определенного периода проведения </w:t>
            </w:r>
            <w:r w:rsidR="0007594F">
              <w:t xml:space="preserve">закрытых </w:t>
            </w:r>
            <w:r w:rsidRPr="006E3CC9">
              <w:t>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14:paraId="0D4CB59E" w14:textId="0DD051C0" w:rsidR="00166D7D" w:rsidRPr="006E3CC9" w:rsidRDefault="00166D7D" w:rsidP="006A0D3E">
            <w:pPr>
              <w:jc w:val="both"/>
            </w:pPr>
            <w:r w:rsidRPr="006E3CC9">
              <w:rPr>
                <w:spacing w:val="-2"/>
              </w:rPr>
              <w:t xml:space="preserve">Со дня определения победителя </w:t>
            </w:r>
            <w:r w:rsidR="00DC5712">
              <w:rPr>
                <w:spacing w:val="-2"/>
              </w:rPr>
              <w:t>закрытых</w:t>
            </w:r>
            <w:r w:rsidRPr="006E3CC9">
              <w:rPr>
                <w:spacing w:val="-2"/>
              </w:rPr>
              <w:t xml:space="preserve"> торгов по продаже имущества должника </w:t>
            </w:r>
            <w:r w:rsidRPr="006E3CC9">
              <w:t>посредством публичного предложения прием заявок прекращается.</w:t>
            </w:r>
          </w:p>
        </w:tc>
      </w:tr>
    </w:tbl>
    <w:p w14:paraId="7AF66640" w14:textId="599604F8" w:rsidR="00166D7D" w:rsidRPr="006E3CC9" w:rsidRDefault="001378FB" w:rsidP="006A0D3E">
      <w:pPr>
        <w:jc w:val="both"/>
      </w:pPr>
      <w:r w:rsidRPr="001378FB">
        <w:lastRenderedPageBreak/>
        <w:drawing>
          <wp:anchor distT="0" distB="0" distL="114300" distR="114300" simplePos="0" relativeHeight="251658240" behindDoc="1" locked="0" layoutInCell="1" allowOverlap="1" wp14:anchorId="57EE6755" wp14:editId="6B499561">
            <wp:simplePos x="0" y="0"/>
            <wp:positionH relativeFrom="column">
              <wp:posOffset>5456196</wp:posOffset>
            </wp:positionH>
            <wp:positionV relativeFrom="paragraph">
              <wp:posOffset>333926</wp:posOffset>
            </wp:positionV>
            <wp:extent cx="3328239" cy="1906437"/>
            <wp:effectExtent l="0" t="0" r="5715" b="0"/>
            <wp:wrapNone/>
            <wp:docPr id="18351098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8239" cy="1906437"/>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CellSpacing w:w="0" w:type="dxa"/>
        <w:tblCellMar>
          <w:left w:w="0" w:type="dxa"/>
          <w:right w:w="0" w:type="dxa"/>
        </w:tblCellMar>
        <w:tblLook w:val="04A0" w:firstRow="1" w:lastRow="0" w:firstColumn="1" w:lastColumn="0" w:noHBand="0" w:noVBand="1"/>
      </w:tblPr>
      <w:tblGrid>
        <w:gridCol w:w="7513"/>
        <w:gridCol w:w="109"/>
        <w:gridCol w:w="7514"/>
      </w:tblGrid>
      <w:tr w:rsidR="00BF178E" w:rsidRPr="006E3CC9" w14:paraId="7115AFC2" w14:textId="77777777" w:rsidTr="002C0F45">
        <w:trPr>
          <w:tblCellSpacing w:w="0" w:type="dxa"/>
        </w:trPr>
        <w:tc>
          <w:tcPr>
            <w:tcW w:w="2482" w:type="pct"/>
            <w:hideMark/>
          </w:tcPr>
          <w:p w14:paraId="0BABE4D6" w14:textId="72670600" w:rsidR="00D502D1" w:rsidRPr="006E3CC9" w:rsidRDefault="00DD14DE" w:rsidP="006A0D3E">
            <w:pPr>
              <w:rPr>
                <w:noProof/>
              </w:rPr>
            </w:pPr>
            <w:r w:rsidRPr="006E3CC9">
              <w:rPr>
                <w:noProof/>
              </w:rPr>
              <w:t xml:space="preserve">            </w:t>
            </w:r>
          </w:p>
          <w:p w14:paraId="4FFFE710" w14:textId="77777777" w:rsidR="00D502D1" w:rsidRPr="006E3CC9" w:rsidRDefault="00D502D1" w:rsidP="006A0D3E">
            <w:pPr>
              <w:rPr>
                <w:bCs/>
                <w:noProof/>
              </w:rPr>
            </w:pPr>
          </w:p>
          <w:p w14:paraId="5FAAB6CB" w14:textId="2F630E15" w:rsidR="00D502D1" w:rsidRPr="006E3CC9" w:rsidRDefault="00D502D1" w:rsidP="006A0D3E">
            <w:pPr>
              <w:rPr>
                <w:bCs/>
                <w:noProof/>
              </w:rPr>
            </w:pPr>
            <w:r w:rsidRPr="006E3CC9">
              <w:rPr>
                <w:bCs/>
                <w:noProof/>
              </w:rPr>
              <w:t xml:space="preserve">Дата: </w:t>
            </w:r>
            <w:r w:rsidR="007F7F5B" w:rsidRPr="006E3CC9">
              <w:rPr>
                <w:bCs/>
                <w:noProof/>
              </w:rPr>
              <w:t>17.10.2025</w:t>
            </w:r>
          </w:p>
          <w:p w14:paraId="599C6177" w14:textId="77777777" w:rsidR="00D502D1" w:rsidRPr="006E3CC9" w:rsidRDefault="00D502D1" w:rsidP="006A0D3E">
            <w:pPr>
              <w:rPr>
                <w:bCs/>
              </w:rPr>
            </w:pPr>
          </w:p>
          <w:p w14:paraId="205ED437" w14:textId="77777777" w:rsidR="00C8025A" w:rsidRDefault="00C8025A" w:rsidP="006A0D3E">
            <w:pPr>
              <w:rPr>
                <w:bCs/>
              </w:rPr>
            </w:pPr>
          </w:p>
          <w:p w14:paraId="266A0A36" w14:textId="77777777" w:rsidR="00C8025A" w:rsidRDefault="00C8025A" w:rsidP="006A0D3E">
            <w:pPr>
              <w:rPr>
                <w:bCs/>
              </w:rPr>
            </w:pPr>
          </w:p>
          <w:p w14:paraId="2CCBA6C6" w14:textId="77777777" w:rsidR="00D502D1" w:rsidRPr="006E3CC9" w:rsidRDefault="00D502D1" w:rsidP="006A0D3E">
            <w:pPr>
              <w:rPr>
                <w:bCs/>
              </w:rPr>
            </w:pPr>
          </w:p>
          <w:p w14:paraId="59BDAAFF" w14:textId="376426C3" w:rsidR="00BF178E" w:rsidRPr="006E3CC9" w:rsidRDefault="00BF178E" w:rsidP="006A0D3E"/>
        </w:tc>
        <w:tc>
          <w:tcPr>
            <w:tcW w:w="0" w:type="auto"/>
            <w:vAlign w:val="center"/>
            <w:hideMark/>
          </w:tcPr>
          <w:p w14:paraId="5C55DB51" w14:textId="77777777" w:rsidR="00BF178E" w:rsidRPr="006E3CC9" w:rsidRDefault="00BF178E" w:rsidP="006A0D3E">
            <w:r w:rsidRPr="006E3CC9">
              <w:t> </w:t>
            </w:r>
          </w:p>
        </w:tc>
        <w:tc>
          <w:tcPr>
            <w:tcW w:w="2482" w:type="pct"/>
            <w:hideMark/>
          </w:tcPr>
          <w:p w14:paraId="6FFF1413" w14:textId="52C13834" w:rsidR="001378FB" w:rsidRPr="001378FB" w:rsidRDefault="001378FB" w:rsidP="001378FB">
            <w:pPr>
              <w:pStyle w:val="a5"/>
              <w:spacing w:before="0" w:after="0"/>
              <w:jc w:val="right"/>
            </w:pPr>
          </w:p>
          <w:p w14:paraId="64CB94BB" w14:textId="77777777" w:rsidR="00BF178E" w:rsidRPr="006E3CC9" w:rsidRDefault="00BF178E" w:rsidP="006A0D3E">
            <w:pPr>
              <w:pStyle w:val="a5"/>
              <w:spacing w:before="0" w:after="0"/>
              <w:jc w:val="right"/>
              <w:rPr>
                <w:sz w:val="20"/>
                <w:szCs w:val="20"/>
              </w:rPr>
            </w:pPr>
          </w:p>
        </w:tc>
      </w:tr>
    </w:tbl>
    <w:p w14:paraId="68049FE8" w14:textId="77777777" w:rsidR="00CE4B37" w:rsidRPr="006E3CC9" w:rsidRDefault="00CE4B37" w:rsidP="006A0D3E">
      <w:pPr>
        <w:jc w:val="both"/>
      </w:pPr>
    </w:p>
    <w:p w14:paraId="60EFF3D1" w14:textId="77777777" w:rsidR="00F378A0" w:rsidRPr="006E3CC9" w:rsidRDefault="00F378A0" w:rsidP="006A0D3E">
      <w:pPr>
        <w:jc w:val="both"/>
      </w:pPr>
    </w:p>
    <w:p w14:paraId="14AFA5F7" w14:textId="77777777" w:rsidR="00F378A0" w:rsidRPr="006E3CC9" w:rsidRDefault="00F378A0" w:rsidP="006A0D3E">
      <w:pPr>
        <w:jc w:val="both"/>
      </w:pPr>
    </w:p>
    <w:sectPr w:rsidR="00F378A0" w:rsidRPr="006E3CC9" w:rsidSect="00F378A0">
      <w:pgSz w:w="16838" w:h="11906" w:orient="landscape"/>
      <w:pgMar w:top="284" w:right="568"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79FF"/>
    <w:multiLevelType w:val="hybridMultilevel"/>
    <w:tmpl w:val="FCE233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4C2BDC"/>
    <w:multiLevelType w:val="hybridMultilevel"/>
    <w:tmpl w:val="B8004A62"/>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2" w15:restartNumberingAfterBreak="0">
    <w:nsid w:val="10874C5D"/>
    <w:multiLevelType w:val="hybridMultilevel"/>
    <w:tmpl w:val="BF2A26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49F3B20"/>
    <w:multiLevelType w:val="hybridMultilevel"/>
    <w:tmpl w:val="FCE233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810EEF"/>
    <w:multiLevelType w:val="hybridMultilevel"/>
    <w:tmpl w:val="40EC1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5607C4"/>
    <w:multiLevelType w:val="hybridMultilevel"/>
    <w:tmpl w:val="62A01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1F1508"/>
    <w:multiLevelType w:val="hybridMultilevel"/>
    <w:tmpl w:val="5AFA92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DBF4604"/>
    <w:multiLevelType w:val="hybridMultilevel"/>
    <w:tmpl w:val="FCE233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D71767"/>
    <w:multiLevelType w:val="hybridMultilevel"/>
    <w:tmpl w:val="FCE233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B72A1"/>
    <w:multiLevelType w:val="hybridMultilevel"/>
    <w:tmpl w:val="FCE233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DD4140"/>
    <w:multiLevelType w:val="hybridMultilevel"/>
    <w:tmpl w:val="FCE233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00D49EE"/>
    <w:multiLevelType w:val="hybridMultilevel"/>
    <w:tmpl w:val="FCE233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8B52C9"/>
    <w:multiLevelType w:val="hybridMultilevel"/>
    <w:tmpl w:val="2F089E9E"/>
    <w:lvl w:ilvl="0" w:tplc="04190001">
      <w:start w:val="1"/>
      <w:numFmt w:val="bullet"/>
      <w:lvlText w:val=""/>
      <w:lvlJc w:val="left"/>
      <w:pPr>
        <w:ind w:left="1151" w:hanging="360"/>
      </w:pPr>
      <w:rPr>
        <w:rFonts w:ascii="Symbol" w:hAnsi="Symbol"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13" w15:restartNumberingAfterBreak="0">
    <w:nsid w:val="5B3A0495"/>
    <w:multiLevelType w:val="hybridMultilevel"/>
    <w:tmpl w:val="FCE233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672011"/>
    <w:multiLevelType w:val="hybridMultilevel"/>
    <w:tmpl w:val="A7AE27C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5" w15:restartNumberingAfterBreak="0">
    <w:nsid w:val="77B94806"/>
    <w:multiLevelType w:val="hybridMultilevel"/>
    <w:tmpl w:val="5C245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5478855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612999">
    <w:abstractNumId w:val="6"/>
  </w:num>
  <w:num w:numId="3" w16cid:durableId="1177384108">
    <w:abstractNumId w:val="15"/>
  </w:num>
  <w:num w:numId="4" w16cid:durableId="302662453">
    <w:abstractNumId w:val="2"/>
  </w:num>
  <w:num w:numId="5" w16cid:durableId="707683765">
    <w:abstractNumId w:val="4"/>
  </w:num>
  <w:num w:numId="6" w16cid:durableId="323360536">
    <w:abstractNumId w:val="12"/>
  </w:num>
  <w:num w:numId="7" w16cid:durableId="1344820309">
    <w:abstractNumId w:val="14"/>
  </w:num>
  <w:num w:numId="8" w16cid:durableId="1376002647">
    <w:abstractNumId w:val="5"/>
  </w:num>
  <w:num w:numId="9" w16cid:durableId="1864440642">
    <w:abstractNumId w:val="13"/>
  </w:num>
  <w:num w:numId="10" w16cid:durableId="1642998420">
    <w:abstractNumId w:val="3"/>
  </w:num>
  <w:num w:numId="11" w16cid:durableId="392654136">
    <w:abstractNumId w:val="8"/>
  </w:num>
  <w:num w:numId="12" w16cid:durableId="743185834">
    <w:abstractNumId w:val="7"/>
  </w:num>
  <w:num w:numId="13" w16cid:durableId="436608360">
    <w:abstractNumId w:val="9"/>
  </w:num>
  <w:num w:numId="14" w16cid:durableId="452139997">
    <w:abstractNumId w:val="10"/>
  </w:num>
  <w:num w:numId="15" w16cid:durableId="1018972216">
    <w:abstractNumId w:val="11"/>
  </w:num>
  <w:num w:numId="16" w16cid:durableId="1220507738">
    <w:abstractNumId w:val="0"/>
  </w:num>
  <w:num w:numId="17" w16cid:durableId="75783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30"/>
    <w:rsid w:val="000271F5"/>
    <w:rsid w:val="000374C2"/>
    <w:rsid w:val="00050F53"/>
    <w:rsid w:val="00067103"/>
    <w:rsid w:val="0007403E"/>
    <w:rsid w:val="0007594F"/>
    <w:rsid w:val="00081981"/>
    <w:rsid w:val="000D0309"/>
    <w:rsid w:val="00106842"/>
    <w:rsid w:val="001378FB"/>
    <w:rsid w:val="0014066D"/>
    <w:rsid w:val="00166D7D"/>
    <w:rsid w:val="001760F5"/>
    <w:rsid w:val="00182B92"/>
    <w:rsid w:val="00185214"/>
    <w:rsid w:val="00196104"/>
    <w:rsid w:val="001B3E5C"/>
    <w:rsid w:val="001E4AD3"/>
    <w:rsid w:val="002144B7"/>
    <w:rsid w:val="00217405"/>
    <w:rsid w:val="0023545D"/>
    <w:rsid w:val="002572E8"/>
    <w:rsid w:val="002A0DAF"/>
    <w:rsid w:val="002A57DA"/>
    <w:rsid w:val="002B722C"/>
    <w:rsid w:val="002C0F45"/>
    <w:rsid w:val="002C4EEF"/>
    <w:rsid w:val="002F34B1"/>
    <w:rsid w:val="00325341"/>
    <w:rsid w:val="00331714"/>
    <w:rsid w:val="003368EE"/>
    <w:rsid w:val="00360B2F"/>
    <w:rsid w:val="003716BD"/>
    <w:rsid w:val="00373E7B"/>
    <w:rsid w:val="00394753"/>
    <w:rsid w:val="003C49F2"/>
    <w:rsid w:val="003E7AC1"/>
    <w:rsid w:val="00411350"/>
    <w:rsid w:val="0046686D"/>
    <w:rsid w:val="004737FD"/>
    <w:rsid w:val="00476EFE"/>
    <w:rsid w:val="0049059C"/>
    <w:rsid w:val="00496CEE"/>
    <w:rsid w:val="004A34F1"/>
    <w:rsid w:val="004B5207"/>
    <w:rsid w:val="004D11AC"/>
    <w:rsid w:val="004D19FE"/>
    <w:rsid w:val="004E45E0"/>
    <w:rsid w:val="00503DC4"/>
    <w:rsid w:val="005310EE"/>
    <w:rsid w:val="00532ED7"/>
    <w:rsid w:val="00536CA8"/>
    <w:rsid w:val="00550EFA"/>
    <w:rsid w:val="005511FC"/>
    <w:rsid w:val="00564EE2"/>
    <w:rsid w:val="0057643B"/>
    <w:rsid w:val="00590BF8"/>
    <w:rsid w:val="005A2E9C"/>
    <w:rsid w:val="005C52EF"/>
    <w:rsid w:val="006007EA"/>
    <w:rsid w:val="00614239"/>
    <w:rsid w:val="0061515B"/>
    <w:rsid w:val="006165BE"/>
    <w:rsid w:val="00627739"/>
    <w:rsid w:val="00633086"/>
    <w:rsid w:val="006628F9"/>
    <w:rsid w:val="006A0D3E"/>
    <w:rsid w:val="006B4964"/>
    <w:rsid w:val="006C0BDC"/>
    <w:rsid w:val="006C5FDE"/>
    <w:rsid w:val="006E3CC9"/>
    <w:rsid w:val="006F3B0F"/>
    <w:rsid w:val="00724052"/>
    <w:rsid w:val="007A54FA"/>
    <w:rsid w:val="007D2547"/>
    <w:rsid w:val="007E5449"/>
    <w:rsid w:val="007E5925"/>
    <w:rsid w:val="007F7F5B"/>
    <w:rsid w:val="00801E81"/>
    <w:rsid w:val="00803A5A"/>
    <w:rsid w:val="0081179E"/>
    <w:rsid w:val="00822EE8"/>
    <w:rsid w:val="00870389"/>
    <w:rsid w:val="008906A3"/>
    <w:rsid w:val="00893D7F"/>
    <w:rsid w:val="008970C7"/>
    <w:rsid w:val="008A4210"/>
    <w:rsid w:val="008B21CB"/>
    <w:rsid w:val="008C0EF2"/>
    <w:rsid w:val="008C3FF4"/>
    <w:rsid w:val="008C49EB"/>
    <w:rsid w:val="008E16AA"/>
    <w:rsid w:val="008E5493"/>
    <w:rsid w:val="008E5E40"/>
    <w:rsid w:val="008E6099"/>
    <w:rsid w:val="0090266C"/>
    <w:rsid w:val="009120AA"/>
    <w:rsid w:val="009174A2"/>
    <w:rsid w:val="00924AD6"/>
    <w:rsid w:val="00930B0A"/>
    <w:rsid w:val="00936E76"/>
    <w:rsid w:val="00953801"/>
    <w:rsid w:val="00967003"/>
    <w:rsid w:val="00992F02"/>
    <w:rsid w:val="009C524B"/>
    <w:rsid w:val="009C7B09"/>
    <w:rsid w:val="009E7C98"/>
    <w:rsid w:val="009F402A"/>
    <w:rsid w:val="00A0594A"/>
    <w:rsid w:val="00A31DBE"/>
    <w:rsid w:val="00A46E3A"/>
    <w:rsid w:val="00A55C76"/>
    <w:rsid w:val="00A87D7A"/>
    <w:rsid w:val="00A92480"/>
    <w:rsid w:val="00AB5424"/>
    <w:rsid w:val="00AB7CFD"/>
    <w:rsid w:val="00AD3797"/>
    <w:rsid w:val="00AD5D15"/>
    <w:rsid w:val="00AD7B44"/>
    <w:rsid w:val="00AD7F81"/>
    <w:rsid w:val="00AF06D8"/>
    <w:rsid w:val="00AF74F7"/>
    <w:rsid w:val="00B20496"/>
    <w:rsid w:val="00B56730"/>
    <w:rsid w:val="00B571E8"/>
    <w:rsid w:val="00B7167D"/>
    <w:rsid w:val="00B73E04"/>
    <w:rsid w:val="00B74630"/>
    <w:rsid w:val="00B804D4"/>
    <w:rsid w:val="00B90994"/>
    <w:rsid w:val="00B962B3"/>
    <w:rsid w:val="00BB2088"/>
    <w:rsid w:val="00BB401D"/>
    <w:rsid w:val="00BD7888"/>
    <w:rsid w:val="00BF178E"/>
    <w:rsid w:val="00BF3B1A"/>
    <w:rsid w:val="00C14BDE"/>
    <w:rsid w:val="00C44E3B"/>
    <w:rsid w:val="00C653A0"/>
    <w:rsid w:val="00C8025A"/>
    <w:rsid w:val="00C8307F"/>
    <w:rsid w:val="00C9253A"/>
    <w:rsid w:val="00CB39E7"/>
    <w:rsid w:val="00CB6141"/>
    <w:rsid w:val="00CC5087"/>
    <w:rsid w:val="00CC5712"/>
    <w:rsid w:val="00CD2B08"/>
    <w:rsid w:val="00CE1F04"/>
    <w:rsid w:val="00CE4B37"/>
    <w:rsid w:val="00CF50C4"/>
    <w:rsid w:val="00D25D44"/>
    <w:rsid w:val="00D33624"/>
    <w:rsid w:val="00D36B74"/>
    <w:rsid w:val="00D40246"/>
    <w:rsid w:val="00D502D1"/>
    <w:rsid w:val="00D554D6"/>
    <w:rsid w:val="00D64096"/>
    <w:rsid w:val="00DC5712"/>
    <w:rsid w:val="00DD14DE"/>
    <w:rsid w:val="00DE7199"/>
    <w:rsid w:val="00DF1010"/>
    <w:rsid w:val="00DF1864"/>
    <w:rsid w:val="00DF28CB"/>
    <w:rsid w:val="00E47C72"/>
    <w:rsid w:val="00E54448"/>
    <w:rsid w:val="00EA4FA6"/>
    <w:rsid w:val="00EA6154"/>
    <w:rsid w:val="00EA7419"/>
    <w:rsid w:val="00EB03B4"/>
    <w:rsid w:val="00EB49A8"/>
    <w:rsid w:val="00ED5A4E"/>
    <w:rsid w:val="00ED79DD"/>
    <w:rsid w:val="00EE2383"/>
    <w:rsid w:val="00EF3BC9"/>
    <w:rsid w:val="00F01032"/>
    <w:rsid w:val="00F154A7"/>
    <w:rsid w:val="00F31CA1"/>
    <w:rsid w:val="00F378A0"/>
    <w:rsid w:val="00F379AC"/>
    <w:rsid w:val="00F40E4B"/>
    <w:rsid w:val="00F81C78"/>
    <w:rsid w:val="00F93243"/>
    <w:rsid w:val="00F9646D"/>
    <w:rsid w:val="00FB01B8"/>
    <w:rsid w:val="00FB5077"/>
    <w:rsid w:val="00FB67CD"/>
    <w:rsid w:val="00FF6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06CBF"/>
  <w15:chartTrackingRefBased/>
  <w15:docId w15:val="{1551F7B0-A06B-4D45-A7D8-84469544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888"/>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C5712"/>
    <w:rPr>
      <w:rFonts w:ascii="Times New Roman" w:eastAsia="Times New Roman" w:hAnsi="Times New Roman"/>
    </w:rPr>
  </w:style>
  <w:style w:type="table" w:styleId="a3">
    <w:name w:val="Table Grid"/>
    <w:basedOn w:val="a1"/>
    <w:uiPriority w:val="59"/>
    <w:rsid w:val="00CC5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CC5712"/>
    <w:rPr>
      <w:color w:val="0000FF"/>
      <w:u w:val="single"/>
    </w:rPr>
  </w:style>
  <w:style w:type="paragraph" w:customStyle="1" w:styleId="ConsPlusNonformat">
    <w:name w:val="ConsPlusNonformat"/>
    <w:rsid w:val="00CC5712"/>
    <w:pPr>
      <w:widowControl w:val="0"/>
      <w:autoSpaceDE w:val="0"/>
      <w:autoSpaceDN w:val="0"/>
      <w:adjustRightInd w:val="0"/>
    </w:pPr>
    <w:rPr>
      <w:rFonts w:ascii="Courier New" w:eastAsia="Times New Roman" w:hAnsi="Courier New" w:cs="Courier New"/>
    </w:rPr>
  </w:style>
  <w:style w:type="paragraph" w:customStyle="1" w:styleId="a5">
    <w:name w:val="Обычный (веб)"/>
    <w:basedOn w:val="a"/>
    <w:rsid w:val="00CC5712"/>
    <w:pPr>
      <w:widowControl/>
      <w:autoSpaceDE/>
      <w:autoSpaceDN/>
      <w:adjustRightInd/>
      <w:spacing w:before="240" w:after="240"/>
    </w:pPr>
    <w:rPr>
      <w:sz w:val="24"/>
      <w:szCs w:val="24"/>
    </w:rPr>
  </w:style>
  <w:style w:type="paragraph" w:styleId="a6">
    <w:name w:val="List Paragraph"/>
    <w:basedOn w:val="a"/>
    <w:uiPriority w:val="34"/>
    <w:qFormat/>
    <w:rsid w:val="00BB401D"/>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HTML">
    <w:name w:val="HTML Preformatted"/>
    <w:basedOn w:val="a"/>
    <w:link w:val="HTML0"/>
    <w:uiPriority w:val="99"/>
    <w:semiHidden/>
    <w:unhideWhenUsed/>
    <w:rsid w:val="0081179E"/>
    <w:rPr>
      <w:rFonts w:ascii="Consolas" w:hAnsi="Consolas"/>
    </w:rPr>
  </w:style>
  <w:style w:type="character" w:customStyle="1" w:styleId="HTML0">
    <w:name w:val="Стандартный HTML Знак"/>
    <w:basedOn w:val="a0"/>
    <w:link w:val="HTML"/>
    <w:uiPriority w:val="99"/>
    <w:semiHidden/>
    <w:rsid w:val="0081179E"/>
    <w:rPr>
      <w:rFonts w:ascii="Consolas" w:eastAsia="Times New Roman"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82106">
      <w:bodyDiv w:val="1"/>
      <w:marLeft w:val="0"/>
      <w:marRight w:val="0"/>
      <w:marTop w:val="0"/>
      <w:marBottom w:val="0"/>
      <w:divBdr>
        <w:top w:val="none" w:sz="0" w:space="0" w:color="auto"/>
        <w:left w:val="none" w:sz="0" w:space="0" w:color="auto"/>
        <w:bottom w:val="none" w:sz="0" w:space="0" w:color="auto"/>
        <w:right w:val="none" w:sz="0" w:space="0" w:color="auto"/>
      </w:divBdr>
      <w:divsChild>
        <w:div w:id="1723362665">
          <w:marLeft w:val="0"/>
          <w:marRight w:val="0"/>
          <w:marTop w:val="0"/>
          <w:marBottom w:val="0"/>
          <w:divBdr>
            <w:top w:val="none" w:sz="0" w:space="0" w:color="auto"/>
            <w:left w:val="none" w:sz="0" w:space="0" w:color="auto"/>
            <w:bottom w:val="none" w:sz="0" w:space="0" w:color="auto"/>
            <w:right w:val="none" w:sz="0" w:space="0" w:color="auto"/>
          </w:divBdr>
        </w:div>
      </w:divsChild>
    </w:div>
    <w:div w:id="219639225">
      <w:bodyDiv w:val="1"/>
      <w:marLeft w:val="0"/>
      <w:marRight w:val="0"/>
      <w:marTop w:val="0"/>
      <w:marBottom w:val="0"/>
      <w:divBdr>
        <w:top w:val="none" w:sz="0" w:space="0" w:color="auto"/>
        <w:left w:val="none" w:sz="0" w:space="0" w:color="auto"/>
        <w:bottom w:val="none" w:sz="0" w:space="0" w:color="auto"/>
        <w:right w:val="none" w:sz="0" w:space="0" w:color="auto"/>
      </w:divBdr>
      <w:divsChild>
        <w:div w:id="1316959656">
          <w:marLeft w:val="0"/>
          <w:marRight w:val="0"/>
          <w:marTop w:val="0"/>
          <w:marBottom w:val="0"/>
          <w:divBdr>
            <w:top w:val="none" w:sz="0" w:space="0" w:color="auto"/>
            <w:left w:val="none" w:sz="0" w:space="0" w:color="auto"/>
            <w:bottom w:val="none" w:sz="0" w:space="0" w:color="auto"/>
            <w:right w:val="none" w:sz="0" w:space="0" w:color="auto"/>
          </w:divBdr>
        </w:div>
      </w:divsChild>
    </w:div>
    <w:div w:id="235896320">
      <w:bodyDiv w:val="1"/>
      <w:marLeft w:val="0"/>
      <w:marRight w:val="0"/>
      <w:marTop w:val="0"/>
      <w:marBottom w:val="0"/>
      <w:divBdr>
        <w:top w:val="none" w:sz="0" w:space="0" w:color="auto"/>
        <w:left w:val="none" w:sz="0" w:space="0" w:color="auto"/>
        <w:bottom w:val="none" w:sz="0" w:space="0" w:color="auto"/>
        <w:right w:val="none" w:sz="0" w:space="0" w:color="auto"/>
      </w:divBdr>
      <w:divsChild>
        <w:div w:id="68843739">
          <w:marLeft w:val="0"/>
          <w:marRight w:val="0"/>
          <w:marTop w:val="0"/>
          <w:marBottom w:val="0"/>
          <w:divBdr>
            <w:top w:val="none" w:sz="0" w:space="0" w:color="auto"/>
            <w:left w:val="none" w:sz="0" w:space="0" w:color="auto"/>
            <w:bottom w:val="none" w:sz="0" w:space="0" w:color="auto"/>
            <w:right w:val="none" w:sz="0" w:space="0" w:color="auto"/>
          </w:divBdr>
        </w:div>
      </w:divsChild>
    </w:div>
    <w:div w:id="278731374">
      <w:bodyDiv w:val="1"/>
      <w:marLeft w:val="0"/>
      <w:marRight w:val="0"/>
      <w:marTop w:val="0"/>
      <w:marBottom w:val="0"/>
      <w:divBdr>
        <w:top w:val="none" w:sz="0" w:space="0" w:color="auto"/>
        <w:left w:val="none" w:sz="0" w:space="0" w:color="auto"/>
        <w:bottom w:val="none" w:sz="0" w:space="0" w:color="auto"/>
        <w:right w:val="none" w:sz="0" w:space="0" w:color="auto"/>
      </w:divBdr>
      <w:divsChild>
        <w:div w:id="1035275565">
          <w:marLeft w:val="0"/>
          <w:marRight w:val="0"/>
          <w:marTop w:val="0"/>
          <w:marBottom w:val="0"/>
          <w:divBdr>
            <w:top w:val="none" w:sz="0" w:space="0" w:color="auto"/>
            <w:left w:val="none" w:sz="0" w:space="0" w:color="auto"/>
            <w:bottom w:val="none" w:sz="0" w:space="0" w:color="auto"/>
            <w:right w:val="none" w:sz="0" w:space="0" w:color="auto"/>
          </w:divBdr>
        </w:div>
      </w:divsChild>
    </w:div>
    <w:div w:id="347606664">
      <w:bodyDiv w:val="1"/>
      <w:marLeft w:val="0"/>
      <w:marRight w:val="0"/>
      <w:marTop w:val="0"/>
      <w:marBottom w:val="0"/>
      <w:divBdr>
        <w:top w:val="none" w:sz="0" w:space="0" w:color="auto"/>
        <w:left w:val="none" w:sz="0" w:space="0" w:color="auto"/>
        <w:bottom w:val="none" w:sz="0" w:space="0" w:color="auto"/>
        <w:right w:val="none" w:sz="0" w:space="0" w:color="auto"/>
      </w:divBdr>
      <w:divsChild>
        <w:div w:id="2121295850">
          <w:marLeft w:val="0"/>
          <w:marRight w:val="0"/>
          <w:marTop w:val="0"/>
          <w:marBottom w:val="0"/>
          <w:divBdr>
            <w:top w:val="none" w:sz="0" w:space="0" w:color="auto"/>
            <w:left w:val="none" w:sz="0" w:space="0" w:color="auto"/>
            <w:bottom w:val="none" w:sz="0" w:space="0" w:color="auto"/>
            <w:right w:val="none" w:sz="0" w:space="0" w:color="auto"/>
          </w:divBdr>
        </w:div>
      </w:divsChild>
    </w:div>
    <w:div w:id="413552918">
      <w:bodyDiv w:val="1"/>
      <w:marLeft w:val="0"/>
      <w:marRight w:val="0"/>
      <w:marTop w:val="0"/>
      <w:marBottom w:val="0"/>
      <w:divBdr>
        <w:top w:val="none" w:sz="0" w:space="0" w:color="auto"/>
        <w:left w:val="none" w:sz="0" w:space="0" w:color="auto"/>
        <w:bottom w:val="none" w:sz="0" w:space="0" w:color="auto"/>
        <w:right w:val="none" w:sz="0" w:space="0" w:color="auto"/>
      </w:divBdr>
      <w:divsChild>
        <w:div w:id="1000695933">
          <w:marLeft w:val="0"/>
          <w:marRight w:val="0"/>
          <w:marTop w:val="0"/>
          <w:marBottom w:val="0"/>
          <w:divBdr>
            <w:top w:val="none" w:sz="0" w:space="0" w:color="auto"/>
            <w:left w:val="none" w:sz="0" w:space="0" w:color="auto"/>
            <w:bottom w:val="none" w:sz="0" w:space="0" w:color="auto"/>
            <w:right w:val="none" w:sz="0" w:space="0" w:color="auto"/>
          </w:divBdr>
        </w:div>
      </w:divsChild>
    </w:div>
    <w:div w:id="485166419">
      <w:bodyDiv w:val="1"/>
      <w:marLeft w:val="0"/>
      <w:marRight w:val="0"/>
      <w:marTop w:val="0"/>
      <w:marBottom w:val="0"/>
      <w:divBdr>
        <w:top w:val="none" w:sz="0" w:space="0" w:color="auto"/>
        <w:left w:val="none" w:sz="0" w:space="0" w:color="auto"/>
        <w:bottom w:val="none" w:sz="0" w:space="0" w:color="auto"/>
        <w:right w:val="none" w:sz="0" w:space="0" w:color="auto"/>
      </w:divBdr>
    </w:div>
    <w:div w:id="539830619">
      <w:bodyDiv w:val="1"/>
      <w:marLeft w:val="0"/>
      <w:marRight w:val="0"/>
      <w:marTop w:val="0"/>
      <w:marBottom w:val="0"/>
      <w:divBdr>
        <w:top w:val="none" w:sz="0" w:space="0" w:color="auto"/>
        <w:left w:val="none" w:sz="0" w:space="0" w:color="auto"/>
        <w:bottom w:val="none" w:sz="0" w:space="0" w:color="auto"/>
        <w:right w:val="none" w:sz="0" w:space="0" w:color="auto"/>
      </w:divBdr>
      <w:divsChild>
        <w:div w:id="1987858275">
          <w:marLeft w:val="0"/>
          <w:marRight w:val="0"/>
          <w:marTop w:val="0"/>
          <w:marBottom w:val="0"/>
          <w:divBdr>
            <w:top w:val="none" w:sz="0" w:space="0" w:color="auto"/>
            <w:left w:val="none" w:sz="0" w:space="0" w:color="auto"/>
            <w:bottom w:val="none" w:sz="0" w:space="0" w:color="auto"/>
            <w:right w:val="none" w:sz="0" w:space="0" w:color="auto"/>
          </w:divBdr>
        </w:div>
      </w:divsChild>
    </w:div>
    <w:div w:id="649360047">
      <w:bodyDiv w:val="1"/>
      <w:marLeft w:val="0"/>
      <w:marRight w:val="0"/>
      <w:marTop w:val="0"/>
      <w:marBottom w:val="0"/>
      <w:divBdr>
        <w:top w:val="none" w:sz="0" w:space="0" w:color="auto"/>
        <w:left w:val="none" w:sz="0" w:space="0" w:color="auto"/>
        <w:bottom w:val="none" w:sz="0" w:space="0" w:color="auto"/>
        <w:right w:val="none" w:sz="0" w:space="0" w:color="auto"/>
      </w:divBdr>
      <w:divsChild>
        <w:div w:id="1906985303">
          <w:marLeft w:val="0"/>
          <w:marRight w:val="0"/>
          <w:marTop w:val="0"/>
          <w:marBottom w:val="0"/>
          <w:divBdr>
            <w:top w:val="none" w:sz="0" w:space="0" w:color="auto"/>
            <w:left w:val="none" w:sz="0" w:space="0" w:color="auto"/>
            <w:bottom w:val="none" w:sz="0" w:space="0" w:color="auto"/>
            <w:right w:val="none" w:sz="0" w:space="0" w:color="auto"/>
          </w:divBdr>
        </w:div>
      </w:divsChild>
    </w:div>
    <w:div w:id="673535168">
      <w:bodyDiv w:val="1"/>
      <w:marLeft w:val="0"/>
      <w:marRight w:val="0"/>
      <w:marTop w:val="0"/>
      <w:marBottom w:val="0"/>
      <w:divBdr>
        <w:top w:val="none" w:sz="0" w:space="0" w:color="auto"/>
        <w:left w:val="none" w:sz="0" w:space="0" w:color="auto"/>
        <w:bottom w:val="none" w:sz="0" w:space="0" w:color="auto"/>
        <w:right w:val="none" w:sz="0" w:space="0" w:color="auto"/>
      </w:divBdr>
    </w:div>
    <w:div w:id="682128490">
      <w:bodyDiv w:val="1"/>
      <w:marLeft w:val="0"/>
      <w:marRight w:val="0"/>
      <w:marTop w:val="0"/>
      <w:marBottom w:val="0"/>
      <w:divBdr>
        <w:top w:val="none" w:sz="0" w:space="0" w:color="auto"/>
        <w:left w:val="none" w:sz="0" w:space="0" w:color="auto"/>
        <w:bottom w:val="none" w:sz="0" w:space="0" w:color="auto"/>
        <w:right w:val="none" w:sz="0" w:space="0" w:color="auto"/>
      </w:divBdr>
      <w:divsChild>
        <w:div w:id="619805976">
          <w:marLeft w:val="0"/>
          <w:marRight w:val="0"/>
          <w:marTop w:val="0"/>
          <w:marBottom w:val="0"/>
          <w:divBdr>
            <w:top w:val="none" w:sz="0" w:space="0" w:color="auto"/>
            <w:left w:val="none" w:sz="0" w:space="0" w:color="auto"/>
            <w:bottom w:val="none" w:sz="0" w:space="0" w:color="auto"/>
            <w:right w:val="none" w:sz="0" w:space="0" w:color="auto"/>
          </w:divBdr>
        </w:div>
      </w:divsChild>
    </w:div>
    <w:div w:id="737478993">
      <w:bodyDiv w:val="1"/>
      <w:marLeft w:val="0"/>
      <w:marRight w:val="0"/>
      <w:marTop w:val="0"/>
      <w:marBottom w:val="0"/>
      <w:divBdr>
        <w:top w:val="none" w:sz="0" w:space="0" w:color="auto"/>
        <w:left w:val="none" w:sz="0" w:space="0" w:color="auto"/>
        <w:bottom w:val="none" w:sz="0" w:space="0" w:color="auto"/>
        <w:right w:val="none" w:sz="0" w:space="0" w:color="auto"/>
      </w:divBdr>
      <w:divsChild>
        <w:div w:id="391122549">
          <w:marLeft w:val="0"/>
          <w:marRight w:val="0"/>
          <w:marTop w:val="0"/>
          <w:marBottom w:val="0"/>
          <w:divBdr>
            <w:top w:val="none" w:sz="0" w:space="0" w:color="auto"/>
            <w:left w:val="none" w:sz="0" w:space="0" w:color="auto"/>
            <w:bottom w:val="none" w:sz="0" w:space="0" w:color="auto"/>
            <w:right w:val="none" w:sz="0" w:space="0" w:color="auto"/>
          </w:divBdr>
        </w:div>
      </w:divsChild>
    </w:div>
    <w:div w:id="955066013">
      <w:bodyDiv w:val="1"/>
      <w:marLeft w:val="0"/>
      <w:marRight w:val="0"/>
      <w:marTop w:val="0"/>
      <w:marBottom w:val="0"/>
      <w:divBdr>
        <w:top w:val="none" w:sz="0" w:space="0" w:color="auto"/>
        <w:left w:val="none" w:sz="0" w:space="0" w:color="auto"/>
        <w:bottom w:val="none" w:sz="0" w:space="0" w:color="auto"/>
        <w:right w:val="none" w:sz="0" w:space="0" w:color="auto"/>
      </w:divBdr>
      <w:divsChild>
        <w:div w:id="1097794859">
          <w:marLeft w:val="0"/>
          <w:marRight w:val="0"/>
          <w:marTop w:val="0"/>
          <w:marBottom w:val="0"/>
          <w:divBdr>
            <w:top w:val="none" w:sz="0" w:space="0" w:color="auto"/>
            <w:left w:val="none" w:sz="0" w:space="0" w:color="auto"/>
            <w:bottom w:val="none" w:sz="0" w:space="0" w:color="auto"/>
            <w:right w:val="none" w:sz="0" w:space="0" w:color="auto"/>
          </w:divBdr>
        </w:div>
      </w:divsChild>
    </w:div>
    <w:div w:id="1432123452">
      <w:bodyDiv w:val="1"/>
      <w:marLeft w:val="0"/>
      <w:marRight w:val="0"/>
      <w:marTop w:val="0"/>
      <w:marBottom w:val="0"/>
      <w:divBdr>
        <w:top w:val="none" w:sz="0" w:space="0" w:color="auto"/>
        <w:left w:val="none" w:sz="0" w:space="0" w:color="auto"/>
        <w:bottom w:val="none" w:sz="0" w:space="0" w:color="auto"/>
        <w:right w:val="none" w:sz="0" w:space="0" w:color="auto"/>
      </w:divBdr>
      <w:divsChild>
        <w:div w:id="1001275352">
          <w:marLeft w:val="0"/>
          <w:marRight w:val="0"/>
          <w:marTop w:val="0"/>
          <w:marBottom w:val="0"/>
          <w:divBdr>
            <w:top w:val="none" w:sz="0" w:space="0" w:color="auto"/>
            <w:left w:val="none" w:sz="0" w:space="0" w:color="auto"/>
            <w:bottom w:val="none" w:sz="0" w:space="0" w:color="auto"/>
            <w:right w:val="none" w:sz="0" w:space="0" w:color="auto"/>
          </w:divBdr>
        </w:div>
      </w:divsChild>
    </w:div>
    <w:div w:id="1574124417">
      <w:bodyDiv w:val="1"/>
      <w:marLeft w:val="0"/>
      <w:marRight w:val="0"/>
      <w:marTop w:val="0"/>
      <w:marBottom w:val="0"/>
      <w:divBdr>
        <w:top w:val="none" w:sz="0" w:space="0" w:color="auto"/>
        <w:left w:val="none" w:sz="0" w:space="0" w:color="auto"/>
        <w:bottom w:val="none" w:sz="0" w:space="0" w:color="auto"/>
        <w:right w:val="none" w:sz="0" w:space="0" w:color="auto"/>
      </w:divBdr>
      <w:divsChild>
        <w:div w:id="221254416">
          <w:marLeft w:val="0"/>
          <w:marRight w:val="0"/>
          <w:marTop w:val="0"/>
          <w:marBottom w:val="0"/>
          <w:divBdr>
            <w:top w:val="none" w:sz="0" w:space="0" w:color="auto"/>
            <w:left w:val="none" w:sz="0" w:space="0" w:color="auto"/>
            <w:bottom w:val="none" w:sz="0" w:space="0" w:color="auto"/>
            <w:right w:val="none" w:sz="0" w:space="0" w:color="auto"/>
          </w:divBdr>
        </w:div>
      </w:divsChild>
    </w:div>
    <w:div w:id="1617442508">
      <w:bodyDiv w:val="1"/>
      <w:marLeft w:val="0"/>
      <w:marRight w:val="0"/>
      <w:marTop w:val="0"/>
      <w:marBottom w:val="0"/>
      <w:divBdr>
        <w:top w:val="none" w:sz="0" w:space="0" w:color="auto"/>
        <w:left w:val="none" w:sz="0" w:space="0" w:color="auto"/>
        <w:bottom w:val="none" w:sz="0" w:space="0" w:color="auto"/>
        <w:right w:val="none" w:sz="0" w:space="0" w:color="auto"/>
      </w:divBdr>
      <w:divsChild>
        <w:div w:id="454638635">
          <w:marLeft w:val="0"/>
          <w:marRight w:val="0"/>
          <w:marTop w:val="0"/>
          <w:marBottom w:val="0"/>
          <w:divBdr>
            <w:top w:val="none" w:sz="0" w:space="0" w:color="auto"/>
            <w:left w:val="none" w:sz="0" w:space="0" w:color="auto"/>
            <w:bottom w:val="none" w:sz="0" w:space="0" w:color="auto"/>
            <w:right w:val="none" w:sz="0" w:space="0" w:color="auto"/>
          </w:divBdr>
        </w:div>
      </w:divsChild>
    </w:div>
    <w:div w:id="1833793093">
      <w:bodyDiv w:val="1"/>
      <w:marLeft w:val="0"/>
      <w:marRight w:val="0"/>
      <w:marTop w:val="0"/>
      <w:marBottom w:val="0"/>
      <w:divBdr>
        <w:top w:val="none" w:sz="0" w:space="0" w:color="auto"/>
        <w:left w:val="none" w:sz="0" w:space="0" w:color="auto"/>
        <w:bottom w:val="none" w:sz="0" w:space="0" w:color="auto"/>
        <w:right w:val="none" w:sz="0" w:space="0" w:color="auto"/>
      </w:divBdr>
      <w:divsChild>
        <w:div w:id="798189778">
          <w:marLeft w:val="0"/>
          <w:marRight w:val="0"/>
          <w:marTop w:val="0"/>
          <w:marBottom w:val="0"/>
          <w:divBdr>
            <w:top w:val="none" w:sz="0" w:space="0" w:color="auto"/>
            <w:left w:val="none" w:sz="0" w:space="0" w:color="auto"/>
            <w:bottom w:val="none" w:sz="0" w:space="0" w:color="auto"/>
            <w:right w:val="none" w:sz="0" w:space="0" w:color="auto"/>
          </w:divBdr>
        </w:div>
      </w:divsChild>
    </w:div>
    <w:div w:id="1846050355">
      <w:bodyDiv w:val="1"/>
      <w:marLeft w:val="0"/>
      <w:marRight w:val="0"/>
      <w:marTop w:val="0"/>
      <w:marBottom w:val="0"/>
      <w:divBdr>
        <w:top w:val="none" w:sz="0" w:space="0" w:color="auto"/>
        <w:left w:val="none" w:sz="0" w:space="0" w:color="auto"/>
        <w:bottom w:val="none" w:sz="0" w:space="0" w:color="auto"/>
        <w:right w:val="none" w:sz="0" w:space="0" w:color="auto"/>
      </w:divBdr>
      <w:divsChild>
        <w:div w:id="710543844">
          <w:marLeft w:val="0"/>
          <w:marRight w:val="0"/>
          <w:marTop w:val="0"/>
          <w:marBottom w:val="0"/>
          <w:divBdr>
            <w:top w:val="none" w:sz="0" w:space="0" w:color="auto"/>
            <w:left w:val="none" w:sz="0" w:space="0" w:color="auto"/>
            <w:bottom w:val="none" w:sz="0" w:space="0" w:color="auto"/>
            <w:right w:val="none" w:sz="0" w:space="0" w:color="auto"/>
          </w:divBdr>
        </w:div>
      </w:divsChild>
    </w:div>
    <w:div w:id="1978027757">
      <w:bodyDiv w:val="1"/>
      <w:marLeft w:val="0"/>
      <w:marRight w:val="0"/>
      <w:marTop w:val="0"/>
      <w:marBottom w:val="0"/>
      <w:divBdr>
        <w:top w:val="none" w:sz="0" w:space="0" w:color="auto"/>
        <w:left w:val="none" w:sz="0" w:space="0" w:color="auto"/>
        <w:bottom w:val="none" w:sz="0" w:space="0" w:color="auto"/>
        <w:right w:val="none" w:sz="0" w:space="0" w:color="auto"/>
      </w:divBdr>
      <w:divsChild>
        <w:div w:id="1991473614">
          <w:marLeft w:val="0"/>
          <w:marRight w:val="0"/>
          <w:marTop w:val="0"/>
          <w:marBottom w:val="0"/>
          <w:divBdr>
            <w:top w:val="none" w:sz="0" w:space="0" w:color="auto"/>
            <w:left w:val="none" w:sz="0" w:space="0" w:color="auto"/>
            <w:bottom w:val="none" w:sz="0" w:space="0" w:color="auto"/>
            <w:right w:val="none" w:sz="0" w:space="0" w:color="auto"/>
          </w:divBdr>
        </w:div>
      </w:divsChild>
    </w:div>
    <w:div w:id="2090882325">
      <w:bodyDiv w:val="1"/>
      <w:marLeft w:val="0"/>
      <w:marRight w:val="0"/>
      <w:marTop w:val="0"/>
      <w:marBottom w:val="0"/>
      <w:divBdr>
        <w:top w:val="none" w:sz="0" w:space="0" w:color="auto"/>
        <w:left w:val="none" w:sz="0" w:space="0" w:color="auto"/>
        <w:bottom w:val="none" w:sz="0" w:space="0" w:color="auto"/>
        <w:right w:val="none" w:sz="0" w:space="0" w:color="auto"/>
      </w:divBdr>
      <w:divsChild>
        <w:div w:id="2103065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consultantplus://offline/ref=91138AA57C65FA1299800F167F3BD0169B5D3C224AD2757036EAB3306A3D679F373F4035FA7CF6A5k3d5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1138AA57C65FA1299800F167F3BD0169B5D3C224AD2757036EAB3306A3D679F373F4035FA7CF6A5k3d5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6312B-6688-4B0D-BD2D-9D9AC6B8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2690</Words>
  <Characters>15333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17988</CharactersWithSpaces>
  <SharedDoc>false</SharedDoc>
  <HLinks>
    <vt:vector size="12" baseType="variant">
      <vt:variant>
        <vt:i4>7471163</vt:i4>
      </vt:variant>
      <vt:variant>
        <vt:i4>3</vt:i4>
      </vt:variant>
      <vt:variant>
        <vt:i4>0</vt:i4>
      </vt:variant>
      <vt:variant>
        <vt:i4>5</vt:i4>
      </vt:variant>
      <vt:variant>
        <vt:lpwstr>consultantplus://offline/ref=91138AA57C65FA1299800F167F3BD0169B5D3C224AD2757036EAB3306A3D679F373F4035FA7CF6A5k3d5N</vt:lpwstr>
      </vt:variant>
      <vt:variant>
        <vt:lpwstr/>
      </vt:variant>
      <vt:variant>
        <vt:i4>7471163</vt:i4>
      </vt:variant>
      <vt:variant>
        <vt:i4>0</vt:i4>
      </vt:variant>
      <vt:variant>
        <vt:i4>0</vt:i4>
      </vt:variant>
      <vt:variant>
        <vt:i4>5</vt:i4>
      </vt:variant>
      <vt:variant>
        <vt:lpwstr>consultantplus://offline/ref=91138AA57C65FA1299800F167F3BD0169B5D3C224AD2757036EAB3306A3D679F373F4035FA7CF6A5k3d5N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Никитин</dc:creator>
  <cp:keywords/>
  <dc:description/>
  <cp:lastModifiedBy>iset2</cp:lastModifiedBy>
  <cp:revision>2</cp:revision>
  <cp:lastPrinted>2019-08-01T06:57:00Z</cp:lastPrinted>
  <dcterms:created xsi:type="dcterms:W3CDTF">2025-10-17T07:09:00Z</dcterms:created>
  <dcterms:modified xsi:type="dcterms:W3CDTF">2025-10-17T07:09:00Z</dcterms:modified>
</cp:coreProperties>
</file>