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:rsidR="00133567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 по лоту №1</w:t>
      </w:r>
    </w:p>
    <w:p w:rsidR="004F55EC" w:rsidRPr="000C6709" w:rsidRDefault="004F55EC" w:rsidP="00133567">
      <w:pPr>
        <w:jc w:val="center"/>
        <w:rPr>
          <w:b/>
          <w:sz w:val="23"/>
          <w:szCs w:val="23"/>
        </w:rPr>
      </w:pPr>
    </w:p>
    <w:p w:rsidR="004F55EC" w:rsidRDefault="004F55EC" w:rsidP="004F55EC">
      <w:pPr>
        <w:jc w:val="both"/>
        <w:rPr>
          <w:sz w:val="23"/>
          <w:szCs w:val="23"/>
        </w:rPr>
      </w:pPr>
      <w:r w:rsidRPr="004F55EC">
        <w:rPr>
          <w:sz w:val="23"/>
          <w:szCs w:val="23"/>
        </w:rPr>
        <w:t xml:space="preserve">Московская область, </w:t>
      </w:r>
    </w:p>
    <w:p w:rsidR="00471A5C" w:rsidRDefault="004F55EC" w:rsidP="004F55EC">
      <w:pPr>
        <w:jc w:val="both"/>
        <w:rPr>
          <w:sz w:val="23"/>
          <w:szCs w:val="23"/>
        </w:rPr>
      </w:pPr>
      <w:r w:rsidRPr="004F55EC">
        <w:rPr>
          <w:sz w:val="23"/>
          <w:szCs w:val="23"/>
        </w:rPr>
        <w:t xml:space="preserve">Дмитров район, </w:t>
      </w:r>
    </w:p>
    <w:p w:rsidR="00133567" w:rsidRPr="000C6709" w:rsidRDefault="004F55EC" w:rsidP="004F55EC">
      <w:pPr>
        <w:jc w:val="both"/>
        <w:rPr>
          <w:sz w:val="23"/>
          <w:szCs w:val="23"/>
        </w:rPr>
      </w:pPr>
      <w:r w:rsidRPr="004F55EC">
        <w:rPr>
          <w:sz w:val="23"/>
          <w:szCs w:val="23"/>
        </w:rPr>
        <w:t>деревня Зверково</w:t>
      </w:r>
      <w:r w:rsidR="000C6709" w:rsidRPr="000C6709">
        <w:rPr>
          <w:sz w:val="23"/>
          <w:szCs w:val="23"/>
        </w:rPr>
        <w:t xml:space="preserve">  </w:t>
      </w:r>
      <w:r w:rsidR="000C6709" w:rsidRPr="000C6709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    </w:t>
      </w:r>
      <w:r w:rsidR="00471A5C"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 </w:t>
      </w:r>
      <w:r w:rsidR="00133567" w:rsidRPr="000C6709">
        <w:rPr>
          <w:sz w:val="23"/>
          <w:szCs w:val="23"/>
        </w:rPr>
        <w:t>«_____» ___________ 202</w:t>
      </w:r>
      <w:r w:rsidR="00701467">
        <w:rPr>
          <w:sz w:val="23"/>
          <w:szCs w:val="23"/>
        </w:rPr>
        <w:t>6</w:t>
      </w:r>
      <w:r w:rsidR="00133567" w:rsidRPr="000C6709">
        <w:rPr>
          <w:sz w:val="23"/>
          <w:szCs w:val="23"/>
        </w:rPr>
        <w:t xml:space="preserve"> года</w:t>
      </w:r>
    </w:p>
    <w:p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:rsidR="00C2427B" w:rsidRPr="00F94C8B" w:rsidRDefault="004F55EC" w:rsidP="009C15F8">
      <w:pPr>
        <w:ind w:firstLine="708"/>
        <w:contextualSpacing/>
        <w:jc w:val="both"/>
        <w:rPr>
          <w:sz w:val="23"/>
          <w:szCs w:val="23"/>
        </w:rPr>
      </w:pPr>
      <w:r w:rsidRPr="004F55EC">
        <w:rPr>
          <w:b/>
          <w:sz w:val="23"/>
          <w:szCs w:val="23"/>
          <w:lang w:bidi="ru-RU"/>
        </w:rPr>
        <w:t>Боталова Светлана Владимировна</w:t>
      </w:r>
      <w:r w:rsidRPr="004F55EC">
        <w:rPr>
          <w:sz w:val="23"/>
          <w:szCs w:val="23"/>
          <w:lang w:bidi="ru-RU"/>
        </w:rPr>
        <w:t xml:space="preserve"> (17.03.1970</w:t>
      </w:r>
      <w:r>
        <w:rPr>
          <w:sz w:val="23"/>
          <w:szCs w:val="23"/>
          <w:lang w:bidi="ru-RU"/>
        </w:rPr>
        <w:t xml:space="preserve"> </w:t>
      </w:r>
      <w:r w:rsidRPr="004F55EC">
        <w:rPr>
          <w:sz w:val="23"/>
          <w:szCs w:val="23"/>
          <w:lang w:bidi="ru-RU"/>
        </w:rPr>
        <w:t>г.р., место рождения гор.</w:t>
      </w:r>
      <w:r>
        <w:rPr>
          <w:sz w:val="23"/>
          <w:szCs w:val="23"/>
          <w:lang w:bidi="ru-RU"/>
        </w:rPr>
        <w:t xml:space="preserve"> </w:t>
      </w:r>
      <w:r w:rsidRPr="004F55EC">
        <w:rPr>
          <w:sz w:val="23"/>
          <w:szCs w:val="23"/>
          <w:lang w:bidi="ru-RU"/>
        </w:rPr>
        <w:t>Нижний Тагил Свердловской области, СНИЛС 03276527453, ИНН 595788195215, место жительства:</w:t>
      </w:r>
      <w:bookmarkStart w:id="0" w:name="_Hlk43322619"/>
      <w:r w:rsidRPr="004F55EC">
        <w:rPr>
          <w:sz w:val="23"/>
          <w:szCs w:val="23"/>
          <w:lang w:bidi="ru-RU"/>
        </w:rPr>
        <w:t xml:space="preserve"> </w:t>
      </w:r>
      <w:bookmarkEnd w:id="0"/>
      <w:r w:rsidRPr="004F55EC">
        <w:rPr>
          <w:sz w:val="23"/>
          <w:szCs w:val="23"/>
          <w:lang w:bidi="ru-RU"/>
        </w:rPr>
        <w:t>Пермский край, г.</w:t>
      </w:r>
      <w:r>
        <w:rPr>
          <w:sz w:val="23"/>
          <w:szCs w:val="23"/>
          <w:lang w:bidi="ru-RU"/>
        </w:rPr>
        <w:t> </w:t>
      </w:r>
      <w:r w:rsidRPr="004F55EC">
        <w:rPr>
          <w:sz w:val="23"/>
          <w:szCs w:val="23"/>
          <w:lang w:bidi="ru-RU"/>
        </w:rPr>
        <w:t>Чернушка, ул.</w:t>
      </w:r>
      <w:r>
        <w:rPr>
          <w:sz w:val="23"/>
          <w:szCs w:val="23"/>
          <w:lang w:bidi="ru-RU"/>
        </w:rPr>
        <w:t xml:space="preserve"> </w:t>
      </w:r>
      <w:r w:rsidRPr="004F55EC">
        <w:rPr>
          <w:sz w:val="23"/>
          <w:szCs w:val="23"/>
          <w:lang w:bidi="ru-RU"/>
        </w:rPr>
        <w:t>Коммунистическая, д.</w:t>
      </w:r>
      <w:r>
        <w:rPr>
          <w:sz w:val="23"/>
          <w:szCs w:val="23"/>
          <w:lang w:bidi="ru-RU"/>
        </w:rPr>
        <w:t xml:space="preserve"> </w:t>
      </w:r>
      <w:r w:rsidRPr="004F55EC">
        <w:rPr>
          <w:sz w:val="23"/>
          <w:szCs w:val="23"/>
          <w:lang w:bidi="ru-RU"/>
        </w:rPr>
        <w:t>9, кв.</w:t>
      </w:r>
      <w:r>
        <w:rPr>
          <w:sz w:val="23"/>
          <w:szCs w:val="23"/>
          <w:lang w:bidi="ru-RU"/>
        </w:rPr>
        <w:t xml:space="preserve"> </w:t>
      </w:r>
      <w:r w:rsidRPr="004F55EC">
        <w:rPr>
          <w:sz w:val="23"/>
          <w:szCs w:val="23"/>
          <w:lang w:bidi="ru-RU"/>
        </w:rPr>
        <w:t>9</w:t>
      </w:r>
      <w:r w:rsidR="000C6709" w:rsidRPr="004F55EC">
        <w:rPr>
          <w:sz w:val="23"/>
          <w:szCs w:val="23"/>
          <w:lang w:bidi="ru-RU"/>
        </w:rPr>
        <w:t>)</w:t>
      </w:r>
      <w:r w:rsidR="00F97D0A" w:rsidRPr="00F94C8B">
        <w:rPr>
          <w:sz w:val="23"/>
          <w:szCs w:val="23"/>
        </w:rPr>
        <w:t xml:space="preserve">, в лице финансового управляющего </w:t>
      </w:r>
      <w:r w:rsidR="00F94C8B" w:rsidRPr="00F94C8B">
        <w:rPr>
          <w:sz w:val="23"/>
          <w:szCs w:val="23"/>
          <w:lang w:bidi="ru-RU"/>
        </w:rPr>
        <w:t>Кулешин</w:t>
      </w:r>
      <w:r w:rsidR="00F94C8B">
        <w:rPr>
          <w:sz w:val="23"/>
          <w:szCs w:val="23"/>
          <w:lang w:bidi="ru-RU"/>
        </w:rPr>
        <w:t>ой Марии Евгеньевны</w:t>
      </w:r>
      <w:r w:rsidR="00F94C8B" w:rsidRPr="00F94C8B">
        <w:rPr>
          <w:sz w:val="23"/>
          <w:szCs w:val="23"/>
          <w:lang w:bidi="ru-RU"/>
        </w:rPr>
        <w:t xml:space="preserve"> (ИНН 262306457514, СНИЛС 132-180-382 19, почтовый адрес: 355000, г.Ставрополь, ул. Маршала Жукова, д. 20а, 3 эт., каб. 1), член</w:t>
      </w:r>
      <w:r w:rsidR="00F94C8B">
        <w:rPr>
          <w:sz w:val="23"/>
          <w:szCs w:val="23"/>
          <w:lang w:bidi="ru-RU"/>
        </w:rPr>
        <w:t>а</w:t>
      </w:r>
      <w:r w:rsidR="00F94C8B" w:rsidRPr="00F94C8B">
        <w:rPr>
          <w:sz w:val="23"/>
          <w:szCs w:val="23"/>
          <w:lang w:bidi="ru-RU"/>
        </w:rPr>
        <w:t xml:space="preserve"> МСО ПАУ (ИНН 7705494552, ОГРН 1037705027249, г.Москва, Котельническая наб., д.17</w:t>
      </w:r>
      <w:r w:rsidR="00F97D0A" w:rsidRPr="00F94C8B">
        <w:rPr>
          <w:sz w:val="23"/>
          <w:szCs w:val="23"/>
        </w:rPr>
        <w:t>)</w:t>
      </w:r>
      <w:r w:rsidR="00F97D0A" w:rsidRPr="00F94C8B">
        <w:rPr>
          <w:i/>
          <w:sz w:val="23"/>
          <w:szCs w:val="23"/>
        </w:rPr>
        <w:t>,</w:t>
      </w:r>
      <w:r w:rsidR="00F97D0A" w:rsidRPr="00F94C8B">
        <w:rPr>
          <w:sz w:val="23"/>
          <w:szCs w:val="23"/>
        </w:rPr>
        <w:t xml:space="preserve"> действующе</w:t>
      </w:r>
      <w:r w:rsidR="00F94C8B">
        <w:rPr>
          <w:sz w:val="23"/>
          <w:szCs w:val="23"/>
        </w:rPr>
        <w:t>й</w:t>
      </w:r>
      <w:r w:rsidR="00F97D0A" w:rsidRPr="00F94C8B">
        <w:rPr>
          <w:sz w:val="23"/>
          <w:szCs w:val="23"/>
        </w:rPr>
        <w:t xml:space="preserve"> на основании решения Арбитражного суда </w:t>
      </w:r>
      <w:r w:rsidRPr="004F55EC">
        <w:rPr>
          <w:sz w:val="23"/>
          <w:szCs w:val="23"/>
          <w:lang w:bidi="ru-RU"/>
        </w:rPr>
        <w:t>Пермского края от 13.10.2025 по делу А50-15831/2025</w:t>
      </w:r>
      <w:r w:rsidR="009C15F8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именуем</w:t>
      </w:r>
      <w:r w:rsidR="00F97D0A" w:rsidRPr="00F94C8B">
        <w:rPr>
          <w:bCs/>
          <w:sz w:val="23"/>
          <w:szCs w:val="23"/>
        </w:rPr>
        <w:t>ая</w:t>
      </w:r>
      <w:r w:rsidR="009C15F8" w:rsidRPr="00F94C8B">
        <w:rPr>
          <w:bCs/>
          <w:sz w:val="23"/>
          <w:szCs w:val="23"/>
        </w:rPr>
        <w:t xml:space="preserve"> </w:t>
      </w:r>
      <w:r w:rsidR="00453794" w:rsidRPr="00F94C8B">
        <w:rPr>
          <w:bCs/>
          <w:sz w:val="23"/>
          <w:szCs w:val="23"/>
        </w:rPr>
        <w:t xml:space="preserve">в дальнейшем </w:t>
      </w:r>
      <w:r w:rsidR="00453794" w:rsidRPr="00F94C8B">
        <w:rPr>
          <w:b/>
          <w:bCs/>
          <w:sz w:val="23"/>
          <w:szCs w:val="23"/>
        </w:rPr>
        <w:t>Продавец</w:t>
      </w:r>
      <w:r w:rsidR="00453794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с одной стороны,</w:t>
      </w:r>
      <w:r w:rsidR="002918DC" w:rsidRPr="00F94C8B">
        <w:rPr>
          <w:bCs/>
          <w:sz w:val="23"/>
          <w:szCs w:val="23"/>
        </w:rPr>
        <w:t xml:space="preserve"> </w:t>
      </w:r>
    </w:p>
    <w:p w:rsidR="00C2427B" w:rsidRPr="00F94C8B" w:rsidRDefault="00C2427B" w:rsidP="00C2427B">
      <w:pPr>
        <w:contextualSpacing/>
        <w:jc w:val="both"/>
        <w:rPr>
          <w:b/>
          <w:bCs/>
          <w:sz w:val="23"/>
          <w:szCs w:val="23"/>
        </w:rPr>
      </w:pPr>
      <w:r w:rsidRPr="00F94C8B">
        <w:rPr>
          <w:b/>
          <w:bCs/>
          <w:sz w:val="23"/>
          <w:szCs w:val="23"/>
        </w:rPr>
        <w:t>и</w:t>
      </w:r>
    </w:p>
    <w:p w:rsidR="00453794" w:rsidRPr="000C6709" w:rsidRDefault="009C15F8" w:rsidP="000C6709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>_____________________________________________________</w:t>
      </w:r>
      <w:r w:rsidR="004F55EC">
        <w:rPr>
          <w:sz w:val="23"/>
          <w:szCs w:val="23"/>
        </w:rPr>
        <w:t>______________________________</w:t>
      </w:r>
      <w:r w:rsidRPr="000C6709">
        <w:rPr>
          <w:sz w:val="23"/>
          <w:szCs w:val="23"/>
        </w:rPr>
        <w:t xml:space="preserve"> ____________________________________________________</w:t>
      </w:r>
      <w:r w:rsidR="004F55EC">
        <w:rPr>
          <w:sz w:val="23"/>
          <w:szCs w:val="23"/>
        </w:rPr>
        <w:t>_______________________________</w:t>
      </w:r>
      <w:r w:rsidRPr="000C6709">
        <w:rPr>
          <w:sz w:val="23"/>
          <w:szCs w:val="23"/>
        </w:rPr>
        <w:t xml:space="preserve">, именуемый в дальнейшем «Покупатель», на основании Протокола №_________ о результатах торгов по продаже имущества </w:t>
      </w:r>
      <w:r w:rsidR="004F55EC">
        <w:rPr>
          <w:sz w:val="23"/>
          <w:szCs w:val="23"/>
        </w:rPr>
        <w:t>Боталовой С.В</w:t>
      </w:r>
      <w:r w:rsidRPr="000C6709">
        <w:rPr>
          <w:sz w:val="23"/>
          <w:szCs w:val="23"/>
        </w:rPr>
        <w:t>.</w:t>
      </w:r>
      <w:r w:rsidR="005B4D79" w:rsidRPr="000C6709">
        <w:rPr>
          <w:sz w:val="23"/>
          <w:szCs w:val="23"/>
        </w:rPr>
        <w:t xml:space="preserve"> от</w:t>
      </w:r>
      <w:r w:rsidRPr="000C6709">
        <w:rPr>
          <w:sz w:val="23"/>
          <w:szCs w:val="23"/>
        </w:rPr>
        <w:t xml:space="preserve"> «______» _________________202</w:t>
      </w:r>
      <w:r w:rsidR="004F55EC">
        <w:rPr>
          <w:sz w:val="23"/>
          <w:szCs w:val="23"/>
        </w:rPr>
        <w:t>6</w:t>
      </w:r>
      <w:r w:rsidRPr="000C6709">
        <w:rPr>
          <w:sz w:val="23"/>
          <w:szCs w:val="23"/>
        </w:rPr>
        <w:t xml:space="preserve"> года</w:t>
      </w:r>
      <w:r w:rsidR="009468BC" w:rsidRPr="000C6709">
        <w:rPr>
          <w:sz w:val="23"/>
          <w:szCs w:val="23"/>
        </w:rPr>
        <w:t xml:space="preserve"> по делу о банкротстве №</w:t>
      </w:r>
      <w:r w:rsidR="004F55EC">
        <w:rPr>
          <w:sz w:val="23"/>
          <w:szCs w:val="23"/>
        </w:rPr>
        <w:t xml:space="preserve"> </w:t>
      </w:r>
      <w:r w:rsidR="004F55EC" w:rsidRPr="004F55EC">
        <w:rPr>
          <w:sz w:val="23"/>
          <w:szCs w:val="23"/>
          <w:lang w:bidi="ru-RU"/>
        </w:rPr>
        <w:t>А50-15831/2025</w:t>
      </w:r>
      <w:r w:rsidR="009468BC" w:rsidRPr="000C6709">
        <w:rPr>
          <w:sz w:val="23"/>
          <w:szCs w:val="23"/>
        </w:rPr>
        <w:t xml:space="preserve">, рассматриваемому Арбитражным судом </w:t>
      </w:r>
      <w:r w:rsidR="004F55EC">
        <w:rPr>
          <w:sz w:val="23"/>
          <w:szCs w:val="23"/>
        </w:rPr>
        <w:t>Пермского</w:t>
      </w:r>
      <w:r w:rsidR="00F94C8B">
        <w:rPr>
          <w:sz w:val="23"/>
          <w:szCs w:val="23"/>
        </w:rPr>
        <w:t xml:space="preserve"> края</w:t>
      </w:r>
      <w:r w:rsidRPr="000C6709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</w:t>
      </w:r>
      <w:r w:rsidR="00453794" w:rsidRPr="000C6709">
        <w:rPr>
          <w:sz w:val="23"/>
          <w:szCs w:val="23"/>
        </w:rPr>
        <w:t>:</w:t>
      </w:r>
    </w:p>
    <w:p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:rsidR="007F04A0" w:rsidRPr="000C670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1. Предмет Договора</w:t>
      </w:r>
      <w:r w:rsidRPr="000C6709">
        <w:rPr>
          <w:bCs/>
          <w:sz w:val="23"/>
          <w:szCs w:val="23"/>
        </w:rPr>
        <w:t>.</w:t>
      </w:r>
    </w:p>
    <w:p w:rsidR="00B93A30" w:rsidRPr="000C670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1.1. Продавец продал, а Покупатель купил</w:t>
      </w:r>
      <w:r w:rsidRPr="000C6709">
        <w:rPr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недвижимое имущество</w:t>
      </w:r>
      <w:r w:rsidR="00B93A30" w:rsidRPr="000C6709">
        <w:rPr>
          <w:bCs/>
          <w:sz w:val="23"/>
          <w:szCs w:val="23"/>
        </w:rPr>
        <w:t>:</w:t>
      </w:r>
    </w:p>
    <w:p w:rsidR="00FB75BC" w:rsidRPr="000C6709" w:rsidRDefault="00C1083E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C1083E">
        <w:rPr>
          <w:iCs/>
          <w:sz w:val="23"/>
          <w:szCs w:val="23"/>
          <w:lang w:bidi="ru-RU"/>
        </w:rPr>
        <w:t xml:space="preserve">земельный участок по адресу: </w:t>
      </w:r>
      <w:r w:rsidR="004F55EC" w:rsidRPr="004F55EC">
        <w:rPr>
          <w:iCs/>
          <w:sz w:val="23"/>
          <w:szCs w:val="23"/>
          <w:lang w:bidi="ru-RU"/>
        </w:rPr>
        <w:t>Московская область, Дмитров район, деревня Зверково</w:t>
      </w:r>
      <w:r w:rsidRPr="00C1083E">
        <w:rPr>
          <w:iCs/>
          <w:sz w:val="23"/>
          <w:szCs w:val="23"/>
          <w:lang w:bidi="ru-RU"/>
        </w:rPr>
        <w:t xml:space="preserve">, кадастровый номер </w:t>
      </w:r>
      <w:r w:rsidR="004F55EC" w:rsidRPr="004F55EC">
        <w:rPr>
          <w:iCs/>
          <w:sz w:val="23"/>
          <w:szCs w:val="23"/>
          <w:lang w:bidi="ru-RU"/>
        </w:rPr>
        <w:t>50:04:0250305:1259</w:t>
      </w:r>
      <w:r w:rsidRPr="00C1083E">
        <w:rPr>
          <w:iCs/>
          <w:sz w:val="23"/>
          <w:szCs w:val="23"/>
          <w:lang w:bidi="ru-RU"/>
        </w:rPr>
        <w:t xml:space="preserve">, общей площадью </w:t>
      </w:r>
      <w:r w:rsidR="004F55EC" w:rsidRPr="004F55EC">
        <w:rPr>
          <w:iCs/>
          <w:sz w:val="23"/>
          <w:szCs w:val="23"/>
          <w:lang w:bidi="ru-RU"/>
        </w:rPr>
        <w:t>728 +/- 9</w:t>
      </w:r>
      <w:r w:rsidRPr="00C1083E">
        <w:rPr>
          <w:iCs/>
          <w:sz w:val="23"/>
          <w:szCs w:val="23"/>
          <w:lang w:bidi="ru-RU"/>
        </w:rPr>
        <w:t xml:space="preserve"> кв.</w:t>
      </w:r>
      <w:r w:rsidR="004F55EC">
        <w:rPr>
          <w:iCs/>
          <w:sz w:val="23"/>
          <w:szCs w:val="23"/>
          <w:lang w:bidi="ru-RU"/>
        </w:rPr>
        <w:t xml:space="preserve"> </w:t>
      </w:r>
      <w:r w:rsidRPr="00C1083E">
        <w:rPr>
          <w:iCs/>
          <w:sz w:val="23"/>
          <w:szCs w:val="23"/>
          <w:lang w:bidi="ru-RU"/>
        </w:rPr>
        <w:t xml:space="preserve">м. Имущество обременено залогом ПАО </w:t>
      </w:r>
      <w:r w:rsidR="004F55EC">
        <w:rPr>
          <w:iCs/>
          <w:sz w:val="23"/>
          <w:szCs w:val="23"/>
          <w:lang w:bidi="ru-RU"/>
        </w:rPr>
        <w:t>Сбербанк</w:t>
      </w:r>
      <w:r w:rsidR="00FB75BC" w:rsidRPr="000C6709">
        <w:rPr>
          <w:bCs/>
          <w:iCs/>
          <w:sz w:val="23"/>
          <w:szCs w:val="23"/>
        </w:rPr>
        <w:t xml:space="preserve"> (далее по тексту – </w:t>
      </w:r>
      <w:r w:rsidR="00D26B54">
        <w:rPr>
          <w:bCs/>
          <w:iCs/>
          <w:sz w:val="23"/>
          <w:szCs w:val="23"/>
        </w:rPr>
        <w:t>Объект</w:t>
      </w:r>
      <w:r w:rsidR="00FB75BC" w:rsidRPr="000C6709">
        <w:rPr>
          <w:bCs/>
          <w:iCs/>
          <w:sz w:val="23"/>
          <w:szCs w:val="23"/>
        </w:rPr>
        <w:t>)</w:t>
      </w:r>
      <w:r w:rsidR="00F97D0A" w:rsidRPr="000C6709">
        <w:rPr>
          <w:bCs/>
          <w:iCs/>
          <w:sz w:val="23"/>
          <w:szCs w:val="23"/>
        </w:rPr>
        <w:t>.</w:t>
      </w:r>
    </w:p>
    <w:p w:rsidR="00F97D0A" w:rsidRPr="000C6709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</w:t>
      </w:r>
      <w:r w:rsidR="005B4D79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4F55EC">
        <w:rPr>
          <w:bCs/>
          <w:sz w:val="23"/>
          <w:szCs w:val="23"/>
        </w:rPr>
        <w:t>Объект</w:t>
      </w:r>
      <w:r w:rsidR="007F04A0" w:rsidRPr="000C6709">
        <w:rPr>
          <w:bCs/>
          <w:sz w:val="23"/>
          <w:szCs w:val="23"/>
        </w:rPr>
        <w:t xml:space="preserve"> принадлежит </w:t>
      </w:r>
      <w:r w:rsidR="00943A80" w:rsidRPr="000C6709">
        <w:rPr>
          <w:bCs/>
          <w:sz w:val="23"/>
          <w:szCs w:val="23"/>
        </w:rPr>
        <w:t>Продавцу</w:t>
      </w:r>
      <w:r w:rsidR="007F04A0" w:rsidRPr="000C6709">
        <w:rPr>
          <w:bCs/>
          <w:sz w:val="23"/>
          <w:szCs w:val="23"/>
        </w:rPr>
        <w:t xml:space="preserve"> на основании</w:t>
      </w:r>
      <w:r w:rsidR="00F97D0A" w:rsidRPr="000C6709">
        <w:rPr>
          <w:bCs/>
          <w:sz w:val="23"/>
          <w:szCs w:val="23"/>
        </w:rPr>
        <w:t>:</w:t>
      </w:r>
    </w:p>
    <w:p w:rsidR="004F55EC" w:rsidRDefault="004F55EC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C1083E">
        <w:rPr>
          <w:sz w:val="23"/>
          <w:szCs w:val="23"/>
        </w:rPr>
        <w:t xml:space="preserve">Вид объекта недвижимости: Земельный участок </w:t>
      </w: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C1083E">
        <w:rPr>
          <w:sz w:val="23"/>
          <w:szCs w:val="23"/>
        </w:rPr>
        <w:t xml:space="preserve">Кадастровый номер: </w:t>
      </w:r>
      <w:r w:rsidR="004F55EC" w:rsidRPr="004F55EC">
        <w:rPr>
          <w:iCs/>
          <w:sz w:val="23"/>
          <w:szCs w:val="23"/>
          <w:lang w:bidi="ru-RU"/>
        </w:rPr>
        <w:t>50:04:0250305:1259</w:t>
      </w: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C1083E">
        <w:rPr>
          <w:sz w:val="23"/>
          <w:szCs w:val="23"/>
        </w:rPr>
        <w:t xml:space="preserve">Назначение объекта недвижимости: данные отсутствуют </w:t>
      </w:r>
    </w:p>
    <w:p w:rsidR="00D26B54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C1083E">
        <w:rPr>
          <w:sz w:val="23"/>
          <w:szCs w:val="23"/>
        </w:rPr>
        <w:t xml:space="preserve">Виды разрешенного использования объекта недвижимости: </w:t>
      </w:r>
      <w:r w:rsidR="004F55EC" w:rsidRPr="004F55EC">
        <w:rPr>
          <w:sz w:val="23"/>
          <w:szCs w:val="23"/>
        </w:rPr>
        <w:t>для дачного строительства</w:t>
      </w: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C1083E">
        <w:rPr>
          <w:sz w:val="23"/>
          <w:szCs w:val="23"/>
        </w:rPr>
        <w:t xml:space="preserve">ид права, доля в праве: Собственность </w:t>
      </w: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C1083E">
        <w:rPr>
          <w:sz w:val="23"/>
          <w:szCs w:val="23"/>
        </w:rPr>
        <w:t xml:space="preserve">ата государственной регистрации: </w:t>
      </w:r>
      <w:r w:rsidR="004F55EC" w:rsidRPr="004F55EC">
        <w:rPr>
          <w:sz w:val="23"/>
          <w:szCs w:val="23"/>
        </w:rPr>
        <w:t>13.11.2023</w:t>
      </w:r>
      <w:r w:rsidRPr="00C1083E">
        <w:rPr>
          <w:sz w:val="23"/>
          <w:szCs w:val="23"/>
        </w:rPr>
        <w:t xml:space="preserve"> </w:t>
      </w:r>
    </w:p>
    <w:p w:rsidR="00C1083E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C1083E">
        <w:rPr>
          <w:sz w:val="23"/>
          <w:szCs w:val="23"/>
        </w:rPr>
        <w:t xml:space="preserve">омер государственной регистрации: </w:t>
      </w:r>
      <w:r w:rsidR="004F55EC" w:rsidRPr="004F55EC">
        <w:rPr>
          <w:sz w:val="23"/>
          <w:szCs w:val="23"/>
        </w:rPr>
        <w:t>50:04:0250305:1259-50/113/2023-5</w:t>
      </w:r>
      <w:r w:rsidRPr="00C1083E">
        <w:rPr>
          <w:sz w:val="23"/>
          <w:szCs w:val="23"/>
        </w:rPr>
        <w:t xml:space="preserve"> </w:t>
      </w:r>
    </w:p>
    <w:p w:rsidR="00D26B54" w:rsidRPr="000C6709" w:rsidRDefault="00C1083E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Pr="00C1083E">
        <w:rPr>
          <w:sz w:val="23"/>
          <w:szCs w:val="23"/>
        </w:rPr>
        <w:t xml:space="preserve">снование государственной регистрации: </w:t>
      </w:r>
      <w:r w:rsidR="004F55EC" w:rsidRPr="004F55EC">
        <w:rPr>
          <w:sz w:val="23"/>
          <w:szCs w:val="23"/>
        </w:rPr>
        <w:t>Договор купли-продажи земельного участка, выдан 13.11.2023</w:t>
      </w:r>
    </w:p>
    <w:p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00 копеек и устанавливается по результатам торгов, в соответствии с Протоколом №_______ о результатах торгов по продаже имущества </w:t>
      </w:r>
      <w:r w:rsidR="004F55EC">
        <w:rPr>
          <w:bCs/>
          <w:sz w:val="23"/>
          <w:szCs w:val="23"/>
        </w:rPr>
        <w:t>Боталовой Светланы Владимировны</w:t>
      </w:r>
      <w:r w:rsidR="001807BF" w:rsidRPr="000C6709">
        <w:rPr>
          <w:bCs/>
          <w:sz w:val="23"/>
          <w:szCs w:val="23"/>
        </w:rPr>
        <w:t xml:space="preserve"> от «______»______________202</w:t>
      </w:r>
      <w:r w:rsidR="00701467">
        <w:rPr>
          <w:bCs/>
          <w:sz w:val="23"/>
          <w:szCs w:val="23"/>
        </w:rPr>
        <w:t>6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:rsidR="009D155B" w:rsidRPr="000C6709" w:rsidRDefault="007F04A0" w:rsidP="00122D25">
      <w:pPr>
        <w:pStyle w:val="Iiiaeuiue"/>
        <w:ind w:firstLine="708"/>
        <w:contextualSpacing/>
        <w:jc w:val="both"/>
        <w:rPr>
          <w:sz w:val="23"/>
          <w:szCs w:val="23"/>
          <w:lang w:eastAsia="ar-SA"/>
        </w:rPr>
      </w:pPr>
      <w:r w:rsidRPr="000C6709">
        <w:rPr>
          <w:bCs/>
          <w:sz w:val="23"/>
          <w:szCs w:val="23"/>
        </w:rPr>
        <w:lastRenderedPageBreak/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4F55EC">
        <w:rPr>
          <w:bCs/>
          <w:sz w:val="23"/>
          <w:szCs w:val="23"/>
        </w:rPr>
        <w:t>Боталовой Светланы Владимировны</w:t>
      </w:r>
      <w:r w:rsidR="009517A4" w:rsidRPr="00DF28B0">
        <w:rPr>
          <w:sz w:val="23"/>
          <w:szCs w:val="23"/>
        </w:rPr>
        <w:t xml:space="preserve"> (ИНН </w:t>
      </w:r>
      <w:r w:rsidR="004F55EC" w:rsidRPr="004F55EC">
        <w:rPr>
          <w:sz w:val="23"/>
          <w:szCs w:val="23"/>
          <w:lang w:bidi="ru-RU"/>
        </w:rPr>
        <w:t>595788195215</w:t>
      </w:r>
      <w:r w:rsidR="009517A4" w:rsidRPr="00DF28B0">
        <w:rPr>
          <w:sz w:val="23"/>
          <w:szCs w:val="23"/>
        </w:rPr>
        <w:t xml:space="preserve">) в </w:t>
      </w:r>
      <w:r w:rsidR="00D26B54">
        <w:rPr>
          <w:color w:val="000000"/>
          <w:sz w:val="23"/>
          <w:szCs w:val="23"/>
          <w:shd w:val="clear" w:color="auto" w:fill="FFFFFF"/>
        </w:rPr>
        <w:t>ФИЛИАЛ "ЦЕНТРАЛЬНЫЙ" ПАО "СОВКОМБАНК"</w:t>
      </w:r>
      <w:r w:rsidR="009517A4" w:rsidRPr="00DF28B0">
        <w:rPr>
          <w:sz w:val="23"/>
          <w:szCs w:val="23"/>
        </w:rPr>
        <w:t xml:space="preserve">, р/с № </w:t>
      </w:r>
      <w:r w:rsidR="004F55EC" w:rsidRPr="004F55EC">
        <w:rPr>
          <w:sz w:val="23"/>
          <w:szCs w:val="23"/>
        </w:rPr>
        <w:t>40817810350223306845</w:t>
      </w:r>
      <w:r w:rsidR="009517A4" w:rsidRPr="00DF28B0">
        <w:rPr>
          <w:sz w:val="23"/>
          <w:szCs w:val="23"/>
        </w:rPr>
        <w:t xml:space="preserve">, к/с </w:t>
      </w:r>
      <w:r w:rsidR="00D26B54" w:rsidRPr="00D26B54">
        <w:rPr>
          <w:sz w:val="23"/>
          <w:szCs w:val="23"/>
        </w:rPr>
        <w:t>30101810150040000763</w:t>
      </w:r>
      <w:r w:rsidR="009517A4" w:rsidRPr="00DF28B0">
        <w:rPr>
          <w:sz w:val="23"/>
          <w:szCs w:val="23"/>
        </w:rPr>
        <w:t xml:space="preserve">, БИК </w:t>
      </w:r>
      <w:r w:rsidR="00D26B54" w:rsidRPr="00D26B54">
        <w:rPr>
          <w:sz w:val="23"/>
          <w:szCs w:val="23"/>
        </w:rPr>
        <w:t>045004763</w:t>
      </w:r>
      <w:r w:rsidR="009D155B" w:rsidRPr="00DF28B0">
        <w:rPr>
          <w:iCs/>
          <w:sz w:val="23"/>
          <w:szCs w:val="23"/>
          <w:lang w:eastAsia="ar-SA"/>
        </w:rPr>
        <w:t>.</w:t>
      </w:r>
      <w:r w:rsidR="009D155B" w:rsidRPr="000C6709">
        <w:rPr>
          <w:i/>
          <w:sz w:val="23"/>
          <w:szCs w:val="23"/>
          <w:lang w:eastAsia="ar-SA"/>
        </w:rPr>
        <w:t xml:space="preserve"> </w:t>
      </w:r>
    </w:p>
    <w:p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к </w:t>
      </w:r>
      <w:r w:rsidR="003105E2" w:rsidRPr="000C6709">
        <w:rPr>
          <w:bCs/>
          <w:sz w:val="23"/>
          <w:szCs w:val="23"/>
        </w:rPr>
        <w:t>Покупателю</w:t>
      </w:r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9517A4" w:rsidRPr="000C6709" w:rsidTr="009517A4"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4F55EC" w:rsidP="001E48C9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Боталова Светлана Владимировна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9517A4" w:rsidRPr="000C6709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0C6709" w:rsidP="000C6709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="00471A5C" w:rsidRPr="004F55EC">
              <w:rPr>
                <w:sz w:val="23"/>
                <w:szCs w:val="23"/>
                <w:lang w:bidi="ru-RU"/>
              </w:rPr>
              <w:t>032</w:t>
            </w:r>
            <w:r w:rsidR="00471A5C">
              <w:rPr>
                <w:sz w:val="23"/>
                <w:szCs w:val="23"/>
                <w:lang w:bidi="ru-RU"/>
              </w:rPr>
              <w:t>-</w:t>
            </w:r>
            <w:r w:rsidR="00471A5C" w:rsidRPr="004F55EC">
              <w:rPr>
                <w:sz w:val="23"/>
                <w:szCs w:val="23"/>
                <w:lang w:bidi="ru-RU"/>
              </w:rPr>
              <w:t>765</w:t>
            </w:r>
            <w:r w:rsidR="00471A5C">
              <w:rPr>
                <w:sz w:val="23"/>
                <w:szCs w:val="23"/>
                <w:lang w:bidi="ru-RU"/>
              </w:rPr>
              <w:t>-</w:t>
            </w:r>
            <w:r w:rsidR="00471A5C" w:rsidRPr="004F55EC">
              <w:rPr>
                <w:sz w:val="23"/>
                <w:szCs w:val="23"/>
                <w:lang w:bidi="ru-RU"/>
              </w:rPr>
              <w:t>274</w:t>
            </w:r>
            <w:r w:rsidR="00471A5C">
              <w:rPr>
                <w:sz w:val="23"/>
                <w:szCs w:val="23"/>
                <w:lang w:bidi="ru-RU"/>
              </w:rPr>
              <w:t xml:space="preserve"> </w:t>
            </w:r>
            <w:r w:rsidR="00471A5C" w:rsidRPr="004F55EC">
              <w:rPr>
                <w:sz w:val="23"/>
                <w:szCs w:val="23"/>
                <w:lang w:bidi="ru-RU"/>
              </w:rPr>
              <w:t>53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0C6709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="00471A5C" w:rsidRPr="004F55EC">
              <w:rPr>
                <w:sz w:val="23"/>
                <w:szCs w:val="23"/>
                <w:lang w:bidi="ru-RU"/>
              </w:rPr>
              <w:t>595788195215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Default="009517A4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:rsidR="00471A5C" w:rsidRPr="000C6709" w:rsidRDefault="00471A5C" w:rsidP="001E48C9">
            <w:pPr>
              <w:spacing w:line="360" w:lineRule="auto"/>
              <w:rPr>
                <w:sz w:val="23"/>
                <w:szCs w:val="23"/>
              </w:rPr>
            </w:pPr>
            <w:bookmarkStart w:id="1" w:name="_GoBack"/>
            <w:bookmarkEnd w:id="1"/>
          </w:p>
          <w:p w:rsidR="009517A4" w:rsidRPr="000C6709" w:rsidRDefault="00DF28B0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М.Е. Кулешина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7A4" w:rsidRPr="000C6709" w:rsidRDefault="009517A4" w:rsidP="001E48C9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:rsidR="009517A4" w:rsidRPr="000C6709" w:rsidRDefault="009517A4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4F55EC">
      <w:pgSz w:w="11906" w:h="16838"/>
      <w:pgMar w:top="851" w:right="851" w:bottom="851" w:left="1418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29" w:rsidRDefault="00423429">
      <w:r>
        <w:separator/>
      </w:r>
    </w:p>
  </w:endnote>
  <w:endnote w:type="continuationSeparator" w:id="0">
    <w:p w:rsidR="00423429" w:rsidRDefault="0042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29" w:rsidRDefault="00423429">
      <w:r>
        <w:separator/>
      </w:r>
    </w:p>
  </w:footnote>
  <w:footnote w:type="continuationSeparator" w:id="0">
    <w:p w:rsidR="00423429" w:rsidRDefault="00423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74F53"/>
    <w:rsid w:val="00176498"/>
    <w:rsid w:val="001807BF"/>
    <w:rsid w:val="00181545"/>
    <w:rsid w:val="00182DEA"/>
    <w:rsid w:val="00184C8A"/>
    <w:rsid w:val="00195939"/>
    <w:rsid w:val="001B17DD"/>
    <w:rsid w:val="001B7B56"/>
    <w:rsid w:val="001C797A"/>
    <w:rsid w:val="001D7AA9"/>
    <w:rsid w:val="001D7E64"/>
    <w:rsid w:val="001E0C85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B8A"/>
    <w:rsid w:val="00420D7B"/>
    <w:rsid w:val="00423429"/>
    <w:rsid w:val="00432A41"/>
    <w:rsid w:val="00442A78"/>
    <w:rsid w:val="00443138"/>
    <w:rsid w:val="00447EFA"/>
    <w:rsid w:val="00453794"/>
    <w:rsid w:val="00453D7D"/>
    <w:rsid w:val="00456722"/>
    <w:rsid w:val="00461555"/>
    <w:rsid w:val="00462FB0"/>
    <w:rsid w:val="0046411A"/>
    <w:rsid w:val="00464EDF"/>
    <w:rsid w:val="00471A5C"/>
    <w:rsid w:val="00480932"/>
    <w:rsid w:val="00485F13"/>
    <w:rsid w:val="00486285"/>
    <w:rsid w:val="004931ED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4F55EC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467"/>
    <w:rsid w:val="00701B64"/>
    <w:rsid w:val="00702B4F"/>
    <w:rsid w:val="00707D49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59FB"/>
    <w:rsid w:val="00BA7640"/>
    <w:rsid w:val="00BB17FA"/>
    <w:rsid w:val="00BB561E"/>
    <w:rsid w:val="00BC09EA"/>
    <w:rsid w:val="00BC284E"/>
    <w:rsid w:val="00BD5053"/>
    <w:rsid w:val="00BE2DF0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6B66"/>
    <w:rsid w:val="00DF28B0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D75D-7372-476E-B3D0-3420CE62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kastarnovad@mail.ru</cp:lastModifiedBy>
  <cp:revision>6</cp:revision>
  <cp:lastPrinted>2016-05-23T12:02:00Z</cp:lastPrinted>
  <dcterms:created xsi:type="dcterms:W3CDTF">2025-09-04T11:37:00Z</dcterms:created>
  <dcterms:modified xsi:type="dcterms:W3CDTF">2026-06-09T11:34:00Z</dcterms:modified>
</cp:coreProperties>
</file>