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4343c"/>
          <w:sz w:val="20"/>
          <w:szCs w:val="20"/>
          <w:highlight w:val="white"/>
          <w:rtl w:val="0"/>
        </w:rPr>
        <w:t xml:space="preserve">Мингалиева Анастасия Александровна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№А60-36647/2025.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05"/>
        <w:tblGridChange w:id="0">
          <w:tblGrid>
            <w:gridCol w:w="354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КИА ПИКАНТО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2010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KNABK514ABT042296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78УН 170577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D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Свердловская область,  г. Первоуральск, ул. Володарского, д. 16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4343c"/>
                <w:sz w:val="20"/>
                <w:szCs w:val="20"/>
                <w:highlight w:val="white"/>
                <w:rtl w:val="0"/>
              </w:rPr>
              <w:t xml:space="preserve">Мингалиева Анастасия Александровна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МИНГАЛИЕВА АНАСТАСИЯ АЛЕКСАНДРОВНА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Банк: ФИЛИАЛ "ЦЕНТРАЛЬНЫЙ" ПАО "СОВКОМБАНК"(БЕРДСК)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БИК: 045004763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Кор.Счет: 30101810150040000763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ИНН: 4401116480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КПП: 544543001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 №: 40817810150223070818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открытия: 18.03.2026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6B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4343c"/>
          <w:sz w:val="20"/>
          <w:szCs w:val="20"/>
          <w:highlight w:val="white"/>
          <w:rtl w:val="0"/>
        </w:rPr>
        <w:t xml:space="preserve">Мингалиева Анастасия Александровна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№А60-36647/2025.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КИА ПИКАНТО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2010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KNABK514ABT042296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78УН 170577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4343c"/>
                <w:sz w:val="20"/>
                <w:szCs w:val="20"/>
                <w:highlight w:val="white"/>
                <w:rtl w:val="0"/>
              </w:rPr>
              <w:t xml:space="preserve">Мингалиева Анастасия Александровна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IsaEnlu7xmM/JVbOQynbNa26g==">CgMxLjA4AHIhMWVPNldrMk1IbnUxREhESGFyd09VczBpMjZRbXNJcV93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